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62646">
      <w:pPr>
        <w:keepNext w:val="0"/>
        <w:keepLines w:val="0"/>
        <w:pageBreakBefore w:val="0"/>
        <w:widowControl w:val="0"/>
        <w:kinsoku/>
        <w:wordWrap/>
        <w:overflowPunct/>
        <w:topLinePunct w:val="0"/>
        <w:autoSpaceDE/>
        <w:autoSpaceDN/>
        <w:bidi w:val="0"/>
        <w:spacing w:line="600" w:lineRule="exact"/>
        <w:textAlignment w:val="auto"/>
        <w:rPr>
          <w:rFonts w:ascii="Times New Roman" w:hAnsi="Times New Roman" w:eastAsia="黑体"/>
          <w:sz w:val="32"/>
          <w:szCs w:val="32"/>
        </w:rPr>
      </w:pPr>
      <w:r>
        <w:rPr>
          <w:rFonts w:ascii="Times New Roman" w:hAnsi="Times New Roman" w:eastAsia="黑体"/>
          <w:sz w:val="32"/>
          <w:szCs w:val="32"/>
        </w:rPr>
        <w:t>附件1</w:t>
      </w:r>
    </w:p>
    <w:p w14:paraId="67337C2E">
      <w:pPr>
        <w:keepNext w:val="0"/>
        <w:keepLines w:val="0"/>
        <w:pageBreakBefore w:val="0"/>
        <w:widowControl w:val="0"/>
        <w:kinsoku/>
        <w:wordWrap/>
        <w:overflowPunct/>
        <w:topLinePunct w:val="0"/>
        <w:autoSpaceDE/>
        <w:autoSpaceDN/>
        <w:bidi w:val="0"/>
        <w:spacing w:line="600" w:lineRule="exact"/>
        <w:textAlignment w:val="auto"/>
        <w:rPr>
          <w:rFonts w:ascii="Times New Roman" w:hAnsi="Times New Roman" w:eastAsia="方正小标宋简体"/>
          <w:sz w:val="44"/>
          <w:szCs w:val="44"/>
        </w:rPr>
      </w:pPr>
    </w:p>
    <w:p w14:paraId="40FE29D9">
      <w:pPr>
        <w:keepNext w:val="0"/>
        <w:keepLines w:val="0"/>
        <w:pageBreakBefore w:val="0"/>
        <w:widowControl w:val="0"/>
        <w:kinsoku/>
        <w:wordWrap/>
        <w:overflowPunct/>
        <w:topLinePunct w:val="0"/>
        <w:autoSpaceDE/>
        <w:autoSpaceDN/>
        <w:bidi w:val="0"/>
        <w:spacing w:line="600" w:lineRule="exact"/>
        <w:jc w:val="center"/>
        <w:textAlignment w:val="auto"/>
        <w:rPr>
          <w:rFonts w:ascii="Times New Roman" w:hAnsi="Times New Roman" w:eastAsia="方正小标宋简体"/>
          <w:sz w:val="44"/>
          <w:szCs w:val="44"/>
        </w:rPr>
      </w:pPr>
      <w:r>
        <w:rPr>
          <w:rFonts w:ascii="Times New Roman" w:hAnsi="Times New Roman" w:eastAsia="方正小标宋简体"/>
          <w:sz w:val="44"/>
          <w:szCs w:val="44"/>
        </w:rPr>
        <w:t>2026年</w:t>
      </w:r>
      <w:r>
        <w:rPr>
          <w:rFonts w:hint="eastAsia" w:ascii="Times New Roman" w:hAnsi="Times New Roman" w:eastAsia="方正小标宋简体"/>
          <w:sz w:val="44"/>
          <w:szCs w:val="44"/>
          <w:lang w:eastAsia="zh-CN"/>
        </w:rPr>
        <w:t>巴彦淖尔市</w:t>
      </w:r>
      <w:r>
        <w:rPr>
          <w:rFonts w:ascii="Times New Roman" w:hAnsi="Times New Roman" w:eastAsia="方正小标宋简体"/>
          <w:sz w:val="44"/>
          <w:szCs w:val="44"/>
        </w:rPr>
        <w:t>科技重大专项</w:t>
      </w:r>
    </w:p>
    <w:p w14:paraId="3A304B2B">
      <w:pPr>
        <w:keepNext w:val="0"/>
        <w:keepLines w:val="0"/>
        <w:pageBreakBefore w:val="0"/>
        <w:widowControl w:val="0"/>
        <w:kinsoku/>
        <w:wordWrap/>
        <w:overflowPunct/>
        <w:topLinePunct w:val="0"/>
        <w:autoSpaceDE/>
        <w:autoSpaceDN/>
        <w:bidi w:val="0"/>
        <w:spacing w:line="600" w:lineRule="exact"/>
        <w:jc w:val="center"/>
        <w:textAlignment w:val="auto"/>
        <w:rPr>
          <w:rFonts w:ascii="Times New Roman" w:hAnsi="Times New Roman" w:eastAsia="方正小标宋简体"/>
          <w:sz w:val="44"/>
          <w:szCs w:val="44"/>
        </w:rPr>
      </w:pPr>
      <w:r>
        <w:rPr>
          <w:rFonts w:ascii="Times New Roman" w:hAnsi="Times New Roman" w:eastAsia="方正小标宋简体"/>
          <w:sz w:val="44"/>
          <w:szCs w:val="44"/>
        </w:rPr>
        <w:t>项目申报指南</w:t>
      </w:r>
    </w:p>
    <w:p w14:paraId="41E64B8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黑体"/>
          <w:sz w:val="32"/>
          <w:szCs w:val="32"/>
          <w:lang w:eastAsia="zh-CN"/>
        </w:rPr>
      </w:pPr>
    </w:p>
    <w:p w14:paraId="6015A05E">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一</w:t>
      </w:r>
      <w:r>
        <w:rPr>
          <w:rFonts w:ascii="Times New Roman" w:hAnsi="Times New Roman" w:eastAsia="黑体"/>
          <w:sz w:val="32"/>
          <w:szCs w:val="32"/>
        </w:rPr>
        <w:t>、</w:t>
      </w:r>
      <w:r>
        <w:rPr>
          <w:rFonts w:hint="eastAsia" w:ascii="Times New Roman" w:hAnsi="Times New Roman" w:eastAsia="黑体"/>
          <w:sz w:val="32"/>
          <w:szCs w:val="32"/>
          <w:lang w:eastAsia="zh-CN"/>
        </w:rPr>
        <w:t>绿色种养</w:t>
      </w:r>
      <w:r>
        <w:rPr>
          <w:rFonts w:ascii="Times New Roman" w:hAnsi="Times New Roman" w:eastAsia="黑体"/>
          <w:sz w:val="32"/>
          <w:szCs w:val="32"/>
        </w:rPr>
        <w:t>领域</w:t>
      </w:r>
    </w:p>
    <w:p w14:paraId="7FB8914D">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Times New Roman" w:hAnsi="Times New Roman" w:eastAsia="楷体_GB2312"/>
          <w:b/>
          <w:bCs/>
          <w:sz w:val="32"/>
          <w:szCs w:val="32"/>
        </w:rPr>
      </w:pPr>
      <w:r>
        <w:rPr>
          <w:rFonts w:ascii="Times New Roman" w:hAnsi="Times New Roman" w:eastAsia="楷体_GB2312"/>
          <w:b/>
          <w:bCs/>
          <w:sz w:val="32"/>
          <w:szCs w:val="32"/>
        </w:rPr>
        <w:t>研究方向1(指南代码</w:t>
      </w:r>
      <w:r>
        <w:rPr>
          <w:rFonts w:hint="eastAsia" w:ascii="Times New Roman" w:hAnsi="Times New Roman" w:eastAsia="楷体_GB2312"/>
          <w:b/>
          <w:bCs/>
          <w:sz w:val="32"/>
          <w:szCs w:val="32"/>
          <w:lang w:val="en-US" w:eastAsia="zh-CN"/>
        </w:rPr>
        <w:t>1</w:t>
      </w:r>
      <w:r>
        <w:rPr>
          <w:rFonts w:ascii="Times New Roman" w:hAnsi="Times New Roman" w:eastAsia="楷体_GB2312"/>
          <w:b/>
          <w:bCs/>
          <w:sz w:val="32"/>
          <w:szCs w:val="32"/>
        </w:rPr>
        <w:t>001)：</w:t>
      </w:r>
      <w:r>
        <w:rPr>
          <w:rFonts w:hint="eastAsia" w:ascii="Times New Roman" w:hAnsi="Times New Roman" w:eastAsia="楷体_GB2312"/>
          <w:b/>
          <w:bCs/>
          <w:sz w:val="32"/>
          <w:szCs w:val="32"/>
        </w:rPr>
        <w:t>河套灌区硬质小麦“粮—经—饲”周年时空复合种植制度构建及关键技术研究</w:t>
      </w:r>
    </w:p>
    <w:p w14:paraId="43716E29">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楷体"/>
          <w:b/>
          <w:bCs/>
          <w:sz w:val="32"/>
          <w:szCs w:val="32"/>
        </w:rPr>
      </w:pPr>
      <w:r>
        <w:rPr>
          <w:rFonts w:ascii="Times New Roman" w:hAnsi="Times New Roman" w:eastAsia="仿宋"/>
          <w:b/>
          <w:bCs/>
          <w:sz w:val="32"/>
          <w:szCs w:val="32"/>
        </w:rPr>
        <w:t>1.研究内容</w:t>
      </w:r>
    </w:p>
    <w:p w14:paraId="5FF6E67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开展</w:t>
      </w:r>
      <w:r>
        <w:rPr>
          <w:rFonts w:hint="eastAsia" w:ascii="Times New Roman" w:hAnsi="Times New Roman" w:eastAsia="仿宋_GB2312"/>
          <w:sz w:val="32"/>
          <w:szCs w:val="32"/>
        </w:rPr>
        <w:t>春小麦粮经套种模式优化</w:t>
      </w:r>
      <w:r>
        <w:rPr>
          <w:rFonts w:hint="eastAsia" w:ascii="Times New Roman" w:hAnsi="Times New Roman" w:eastAsia="仿宋_GB2312"/>
          <w:sz w:val="32"/>
          <w:szCs w:val="32"/>
          <w:lang w:eastAsia="zh-CN"/>
        </w:rPr>
        <w:t>研究，</w:t>
      </w:r>
      <w:r>
        <w:rPr>
          <w:rFonts w:hint="eastAsia" w:ascii="Times New Roman" w:hAnsi="Times New Roman" w:eastAsia="仿宋_GB2312"/>
          <w:sz w:val="32"/>
          <w:szCs w:val="32"/>
        </w:rPr>
        <w:t>围绕河套硬质小麦与辣椒、西甜瓜、向日葵等经济作物，研究粮经空间配置、品种组合及资源利用特征，筛选适宜的粮经复合种植模式</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研究冬黑麦品种与前茬粮经套种的茬口衔接，筛选适宜的夏秋短季作物，优化冬季覆盖、饲草利用与短季复种的连续配置模式</w:t>
      </w:r>
      <w:r>
        <w:rPr>
          <w:rFonts w:hint="eastAsia" w:ascii="Times New Roman" w:hAnsi="Times New Roman" w:eastAsia="仿宋_GB2312"/>
          <w:sz w:val="32"/>
          <w:szCs w:val="32"/>
          <w:lang w:eastAsia="zh-CN"/>
        </w:rPr>
        <w:t>；开展</w:t>
      </w:r>
      <w:r>
        <w:rPr>
          <w:rFonts w:hint="eastAsia" w:ascii="Times New Roman" w:hAnsi="Times New Roman" w:eastAsia="仿宋_GB2312"/>
          <w:sz w:val="32"/>
          <w:szCs w:val="32"/>
        </w:rPr>
        <w:t>两年三作连续配置及前后茬效应</w:t>
      </w:r>
      <w:r>
        <w:rPr>
          <w:rFonts w:hint="eastAsia" w:ascii="Times New Roman" w:hAnsi="Times New Roman" w:eastAsia="仿宋_GB2312"/>
          <w:sz w:val="32"/>
          <w:szCs w:val="32"/>
          <w:lang w:eastAsia="zh-CN"/>
        </w:rPr>
        <w:t>研究，</w:t>
      </w:r>
      <w:r>
        <w:rPr>
          <w:rFonts w:hint="eastAsia" w:ascii="Times New Roman" w:hAnsi="Times New Roman" w:eastAsia="仿宋_GB2312"/>
          <w:sz w:val="32"/>
          <w:szCs w:val="32"/>
        </w:rPr>
        <w:t>研究不同茬次组合对土壤水肥、地力、生态效应及小麦产量品质的影响，揭示连续配置的资源竞争与互补及前后茬效应</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周年复合种植制度集成与示范。综合产量、品质、经济和生态效益，构建3～5种“两年三作”周年复合种植模式，形成配套技术规程，采用年度滚动布置开展重复验证和示范推广。</w:t>
      </w:r>
    </w:p>
    <w:p w14:paraId="612BB13F">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黑体"/>
          <w:sz w:val="32"/>
          <w:szCs w:val="32"/>
        </w:rPr>
      </w:pPr>
      <w:r>
        <w:rPr>
          <w:rFonts w:ascii="Times New Roman" w:hAnsi="Times New Roman" w:eastAsia="仿宋"/>
          <w:b/>
          <w:bCs/>
          <w:sz w:val="32"/>
          <w:szCs w:val="32"/>
        </w:rPr>
        <w:t>2.考核指标</w:t>
      </w:r>
    </w:p>
    <w:p w14:paraId="0F576AD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筛选形成适宜河套灌区的“粮—经—饲”两年三作周年复合种植模式3～5种，其中2～3套兼顾硬质小麦稳产提质与周年综合增效的关键技术模式。筛选形成与主要茬口和复合配置相适配的硬质小麦、冬黑麦及配套作物品种（组合）3～5个</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核心模式小麦产量和主要品质指标不低于当地常规春小麦一年一作对照，平均周年单位面积综合经济效益较常规春小麦一年一作提高10%以上，并与当地代表性粮经套种、复种模式进行比较评价；冬季农田风蚀量较常规春小麦收获后裸地降低20%以上。形成以河套硬质小麦为核心的周年茬口配置技术体系1套，明确主要作物播期、收期、茬口衔接及周年资源配置的关键参数，明确适配品种（组合）及其产量、品质和周年综合效益表现。制定地方/团体标准1～2项，申请</w:t>
      </w:r>
      <w:r>
        <w:rPr>
          <w:rFonts w:hint="eastAsia" w:ascii="Times New Roman" w:hAnsi="Times New Roman" w:eastAsia="仿宋_GB2312"/>
          <w:sz w:val="32"/>
          <w:szCs w:val="32"/>
          <w:lang w:eastAsia="zh-CN"/>
        </w:rPr>
        <w:t>发明</w:t>
      </w:r>
      <w:r>
        <w:rPr>
          <w:rFonts w:hint="eastAsia" w:ascii="Times New Roman" w:hAnsi="Times New Roman" w:eastAsia="仿宋_GB2312"/>
          <w:sz w:val="32"/>
          <w:szCs w:val="32"/>
        </w:rPr>
        <w:t>专利1～2项。建立核心示范区300亩以上，辐射带动3000亩以上。</w:t>
      </w:r>
    </w:p>
    <w:p w14:paraId="50249B14">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ascii="Times New Roman" w:hAnsi="Times New Roman" w:eastAsia="楷体_GB2312"/>
          <w:b/>
          <w:bCs/>
          <w:sz w:val="32"/>
          <w:szCs w:val="32"/>
        </w:rPr>
      </w:pPr>
      <w:r>
        <w:rPr>
          <w:rFonts w:ascii="Times New Roman" w:hAnsi="Times New Roman" w:eastAsia="楷体_GB2312"/>
          <w:b/>
          <w:bCs/>
          <w:sz w:val="32"/>
          <w:szCs w:val="32"/>
        </w:rPr>
        <w:t>研究方向</w:t>
      </w:r>
      <w:r>
        <w:rPr>
          <w:rFonts w:hint="eastAsia" w:ascii="Times New Roman" w:hAnsi="Times New Roman" w:eastAsia="楷体_GB2312"/>
          <w:b/>
          <w:bCs/>
          <w:sz w:val="32"/>
          <w:szCs w:val="32"/>
          <w:lang w:val="en-US" w:eastAsia="zh-CN"/>
        </w:rPr>
        <w:t>2</w:t>
      </w:r>
      <w:r>
        <w:rPr>
          <w:rFonts w:ascii="Times New Roman" w:hAnsi="Times New Roman" w:eastAsia="楷体_GB2312"/>
          <w:b/>
          <w:bCs/>
          <w:sz w:val="32"/>
          <w:szCs w:val="32"/>
        </w:rPr>
        <w:t>(指南代码</w:t>
      </w:r>
      <w:r>
        <w:rPr>
          <w:rFonts w:hint="eastAsia" w:ascii="Times New Roman" w:hAnsi="Times New Roman" w:eastAsia="楷体_GB2312"/>
          <w:b/>
          <w:bCs/>
          <w:sz w:val="32"/>
          <w:szCs w:val="32"/>
          <w:lang w:val="en-US" w:eastAsia="zh-CN"/>
        </w:rPr>
        <w:t>1</w:t>
      </w:r>
      <w:r>
        <w:rPr>
          <w:rFonts w:ascii="Times New Roman" w:hAnsi="Times New Roman" w:eastAsia="楷体_GB2312"/>
          <w:b/>
          <w:bCs/>
          <w:sz w:val="32"/>
          <w:szCs w:val="32"/>
        </w:rPr>
        <w:t>00</w:t>
      </w:r>
      <w:r>
        <w:rPr>
          <w:rFonts w:hint="eastAsia" w:ascii="Times New Roman" w:hAnsi="Times New Roman" w:eastAsia="楷体_GB2312"/>
          <w:b/>
          <w:bCs/>
          <w:sz w:val="32"/>
          <w:szCs w:val="32"/>
          <w:lang w:val="en-US" w:eastAsia="zh-CN"/>
        </w:rPr>
        <w:t>2</w:t>
      </w:r>
      <w:r>
        <w:rPr>
          <w:rFonts w:ascii="Times New Roman" w:hAnsi="Times New Roman" w:eastAsia="楷体_GB2312"/>
          <w:b/>
          <w:bCs/>
          <w:sz w:val="32"/>
          <w:szCs w:val="32"/>
        </w:rPr>
        <w:t>)：</w:t>
      </w:r>
      <w:r>
        <w:rPr>
          <w:rFonts w:hint="eastAsia" w:ascii="Times New Roman" w:hAnsi="Times New Roman" w:eastAsia="楷体_GB2312"/>
          <w:b/>
          <w:bCs/>
          <w:sz w:val="32"/>
          <w:szCs w:val="32"/>
        </w:rPr>
        <w:t>玉米大面积单产提升对区域水平衡影响与适应性调控技术研究</w:t>
      </w:r>
    </w:p>
    <w:p w14:paraId="7FAB120A">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楷体"/>
          <w:b/>
          <w:bCs/>
          <w:sz w:val="32"/>
          <w:szCs w:val="32"/>
        </w:rPr>
      </w:pPr>
      <w:r>
        <w:rPr>
          <w:rFonts w:ascii="Times New Roman" w:hAnsi="Times New Roman" w:eastAsia="仿宋"/>
          <w:b/>
          <w:bCs/>
          <w:sz w:val="32"/>
          <w:szCs w:val="32"/>
        </w:rPr>
        <w:t>1.研究内容</w:t>
      </w:r>
    </w:p>
    <w:p w14:paraId="0EE53D10">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研究增密种植条件下玉米群体需水规律和需水量，在考虑气象、土壤等条件的基础上，建立河套平原密植玉米需水图谱；评估玉米产能提升与水资源利用关系，确定水资源刚性约束下不同水源区域（黄灌区、井灌区、井渠双灌区）密植玉米适宜面积及水资源优化配置模式；研究不同区域玉米产量限制因素，明确密植条件下玉米不同生长阶段根区水分阈值，提出不同水源区玉米密植高产节水技术及灌溉制度，并进行示范。</w:t>
      </w:r>
    </w:p>
    <w:p w14:paraId="1D88CDFD">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黑体"/>
          <w:sz w:val="32"/>
          <w:szCs w:val="32"/>
        </w:rPr>
      </w:pPr>
      <w:r>
        <w:rPr>
          <w:rFonts w:ascii="Times New Roman" w:hAnsi="Times New Roman" w:eastAsia="仿宋"/>
          <w:b/>
          <w:bCs/>
          <w:sz w:val="32"/>
          <w:szCs w:val="32"/>
        </w:rPr>
        <w:t>2.考核指标</w:t>
      </w:r>
    </w:p>
    <w:p w14:paraId="5E9D7FEC">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构建</w:t>
      </w:r>
      <w:r>
        <w:rPr>
          <w:rFonts w:hint="eastAsia" w:ascii="Times New Roman" w:hAnsi="Times New Roman" w:eastAsia="仿宋_GB2312"/>
          <w:sz w:val="32"/>
          <w:szCs w:val="32"/>
        </w:rPr>
        <w:t>面向单产提升的玉米需水等值线图1套，精度大于80%；玉米适宜种植面积和水资源优化配置模式1套，主要环节水资源要素精度大于80%；面向单产提升的玉米密植节水技术1套，示范应用后产量达到1000kg/亩，较常规滴灌节水10%以上；形成巴彦淖尔市玉米产量分析报告1套。</w:t>
      </w:r>
    </w:p>
    <w:p w14:paraId="723D4BC6">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ascii="Times New Roman" w:hAnsi="Times New Roman" w:eastAsia="黑体"/>
          <w:sz w:val="32"/>
          <w:szCs w:val="32"/>
        </w:rPr>
      </w:pPr>
      <w:r>
        <w:rPr>
          <w:rFonts w:hint="eastAsia" w:ascii="Times New Roman" w:hAnsi="Times New Roman" w:eastAsia="黑体"/>
          <w:sz w:val="32"/>
          <w:szCs w:val="32"/>
          <w:lang w:eastAsia="zh-CN"/>
        </w:rPr>
        <w:t>二</w:t>
      </w:r>
      <w:r>
        <w:rPr>
          <w:rFonts w:ascii="Times New Roman" w:hAnsi="Times New Roman" w:eastAsia="黑体"/>
          <w:sz w:val="32"/>
          <w:szCs w:val="32"/>
        </w:rPr>
        <w:t>、</w:t>
      </w:r>
      <w:r>
        <w:rPr>
          <w:rFonts w:hint="eastAsia" w:ascii="Times New Roman" w:hAnsi="Times New Roman" w:eastAsia="黑体"/>
          <w:sz w:val="32"/>
          <w:szCs w:val="32"/>
          <w:lang w:eastAsia="zh-CN"/>
        </w:rPr>
        <w:t>农畜产品精深加工</w:t>
      </w:r>
      <w:r>
        <w:rPr>
          <w:rFonts w:ascii="Times New Roman" w:hAnsi="Times New Roman" w:eastAsia="黑体"/>
          <w:sz w:val="32"/>
          <w:szCs w:val="32"/>
        </w:rPr>
        <w:t>领域</w:t>
      </w:r>
    </w:p>
    <w:p w14:paraId="527ED4C0">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楷体_GB2312"/>
          <w:b/>
          <w:bCs/>
          <w:sz w:val="32"/>
          <w:szCs w:val="32"/>
        </w:rPr>
      </w:pPr>
      <w:r>
        <w:rPr>
          <w:rFonts w:ascii="Times New Roman" w:hAnsi="Times New Roman" w:eastAsia="楷体_GB2312"/>
          <w:b/>
          <w:bCs/>
          <w:sz w:val="32"/>
          <w:szCs w:val="32"/>
        </w:rPr>
        <w:t>研究方向1(指南代码</w:t>
      </w:r>
      <w:r>
        <w:rPr>
          <w:rFonts w:hint="eastAsia" w:ascii="Times New Roman" w:hAnsi="Times New Roman" w:eastAsia="楷体_GB2312"/>
          <w:b/>
          <w:bCs/>
          <w:sz w:val="32"/>
          <w:szCs w:val="32"/>
          <w:lang w:val="en-US" w:eastAsia="zh-CN"/>
        </w:rPr>
        <w:t>2</w:t>
      </w:r>
      <w:r>
        <w:rPr>
          <w:rFonts w:ascii="Times New Roman" w:hAnsi="Times New Roman" w:eastAsia="楷体_GB2312"/>
          <w:b/>
          <w:bCs/>
          <w:sz w:val="32"/>
          <w:szCs w:val="32"/>
        </w:rPr>
        <w:t>001)：</w:t>
      </w:r>
      <w:r>
        <w:rPr>
          <w:rFonts w:hint="eastAsia" w:ascii="Times New Roman" w:hAnsi="Times New Roman" w:eastAsia="楷体_GB2312"/>
          <w:b/>
          <w:bCs/>
          <w:sz w:val="32"/>
          <w:szCs w:val="32"/>
          <w:lang w:eastAsia="zh-CN"/>
        </w:rPr>
        <w:t>羊绒智能高效绿色生产关键技术研发与集成应用</w:t>
      </w:r>
    </w:p>
    <w:p w14:paraId="4ACC6B75">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仿宋"/>
          <w:b/>
          <w:bCs/>
          <w:sz w:val="32"/>
          <w:szCs w:val="32"/>
        </w:rPr>
      </w:pPr>
      <w:r>
        <w:rPr>
          <w:rFonts w:ascii="Times New Roman" w:hAnsi="Times New Roman" w:eastAsia="仿宋"/>
          <w:b/>
          <w:bCs/>
          <w:sz w:val="32"/>
          <w:szCs w:val="32"/>
        </w:rPr>
        <w:t>1.研究内容</w:t>
      </w:r>
    </w:p>
    <w:p w14:paraId="2A992865">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针对羊绒加工原料含杂含油波动大、洗绒工况不稳、分梳得绒率低、纤维损伤大、能耗高、粉尘污染、工序数据割裂等行业现存难题，开展全链条技术攻关。开发洗绒多参数在线监测与自适应调控技术，优化洗槽结构与水循环处理工艺，解决洗净绒板结结块问题；研制柔性开松、低温节能烘干及废水回用配套工艺，提高绒体蓬松度，降低加工过程纤维断裂损耗。优化分梳工艺，研发短流程低损伤分梳技术和装备，提升羊绒实际提取率；开发负压式落物纤维回收、车间气流除尘一体化装备，实现废弃纤维高效回收利用。搭建车间工业互联网与数字孪生管控平台，打通各工序数据通道，建立原料、工艺、产品质量、能耗之间的关联模型，实现生产质量异常预警、设备故障预判以及工艺参数自主优化，形成羊绒全流程绿色智能管控体系，并开展产业化示范应用。</w:t>
      </w:r>
    </w:p>
    <w:p w14:paraId="7057FAFA">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黑体"/>
          <w:sz w:val="32"/>
          <w:szCs w:val="32"/>
        </w:rPr>
      </w:pPr>
      <w:r>
        <w:rPr>
          <w:rFonts w:ascii="Times New Roman" w:hAnsi="Times New Roman" w:eastAsia="仿宋"/>
          <w:b/>
          <w:bCs/>
          <w:sz w:val="32"/>
          <w:szCs w:val="32"/>
        </w:rPr>
        <w:t>2.考核指标</w:t>
      </w:r>
    </w:p>
    <w:p w14:paraId="4FF1578D">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研发1套洗绒多参数自适应调控系统；洗绒废水循环利用率不低于75%，吨绒综合能耗相比原有基准降低15%，洗净绒结块率降为零。研发1套短流程低损伤分梳工艺和装备；羊绒提取率较基准提升3%，纤维短损率较基准下降50%；单线配置分梳主机不超过12台，生产线加工产能较基准提升20%；无毛绒纤维平均长度较基准提升10%。建成1套负压纤维回收+车间除尘一体化系统；现场岗位用工数量较基准减少30%，车间粉尘指标达到清洁生产相关标准。搭建1套羊绒加工数字孪生管控平台，实现全工序质量异常自动预警。申请发明专利3～5件，制订1～2项技术标准；依托项目技术生产的产品，新增营业收入较原有基准增加3500万元以上。</w:t>
      </w:r>
    </w:p>
    <w:p w14:paraId="5A1A0D84">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仿宋_GB2312"/>
          <w:b/>
          <w:bCs/>
          <w:sz w:val="32"/>
          <w:szCs w:val="32"/>
        </w:rPr>
      </w:pPr>
      <w:r>
        <w:rPr>
          <w:rFonts w:ascii="Times New Roman" w:hAnsi="Times New Roman" w:eastAsia="仿宋_GB2312"/>
          <w:b/>
          <w:bCs/>
          <w:sz w:val="32"/>
          <w:szCs w:val="32"/>
        </w:rPr>
        <w:t>说明：</w:t>
      </w:r>
      <w:r>
        <w:rPr>
          <w:rFonts w:hint="eastAsia" w:ascii="Times New Roman" w:hAnsi="Times New Roman" w:eastAsia="仿宋_GB2312"/>
          <w:b/>
          <w:bCs/>
          <w:sz w:val="32"/>
          <w:szCs w:val="32"/>
          <w:lang w:eastAsia="zh-CN"/>
        </w:rPr>
        <w:t>该</w:t>
      </w:r>
      <w:r>
        <w:rPr>
          <w:rFonts w:ascii="Times New Roman" w:hAnsi="Times New Roman" w:eastAsia="仿宋_GB2312"/>
          <w:b/>
          <w:bCs/>
          <w:sz w:val="32"/>
          <w:szCs w:val="32"/>
        </w:rPr>
        <w:t>研究方向由企业牵头申报，自筹资金与申请财政资金之比不低于2:1。</w:t>
      </w:r>
    </w:p>
    <w:p w14:paraId="7B41C40D">
      <w:pPr>
        <w:keepNext w:val="0"/>
        <w:keepLines w:val="0"/>
        <w:pageBreakBefore w:val="0"/>
        <w:widowControl w:val="0"/>
        <w:numPr>
          <w:ilvl w:val="0"/>
          <w:numId w:val="0"/>
        </w:numPr>
        <w:kinsoku/>
        <w:wordWrap/>
        <w:overflowPunct/>
        <w:topLinePunct w:val="0"/>
        <w:autoSpaceDE/>
        <w:autoSpaceDN/>
        <w:bidi w:val="0"/>
        <w:spacing w:line="600" w:lineRule="exact"/>
        <w:ind w:firstLine="640" w:firstLineChars="200"/>
        <w:textAlignment w:val="auto"/>
        <w:rPr>
          <w:rFonts w:hint="default" w:eastAsia="宋体"/>
          <w:lang w:val="en-US" w:eastAsia="zh-CN"/>
        </w:rPr>
      </w:pPr>
      <w:r>
        <w:rPr>
          <w:rFonts w:hint="eastAsia" w:ascii="Times New Roman" w:hAnsi="Times New Roman" w:eastAsia="黑体"/>
          <w:sz w:val="32"/>
          <w:szCs w:val="32"/>
          <w:lang w:eastAsia="zh-CN"/>
        </w:rPr>
        <w:t>三、生态环境</w:t>
      </w:r>
      <w:r>
        <w:rPr>
          <w:rFonts w:ascii="Times New Roman" w:hAnsi="Times New Roman" w:eastAsia="黑体"/>
          <w:sz w:val="32"/>
          <w:szCs w:val="32"/>
        </w:rPr>
        <w:t>领域</w:t>
      </w:r>
    </w:p>
    <w:p w14:paraId="37AA88DE">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hint="eastAsia" w:ascii="Times New Roman" w:hAnsi="Times New Roman" w:eastAsia="楷体_GB2312"/>
          <w:b/>
          <w:bCs/>
          <w:sz w:val="32"/>
          <w:szCs w:val="32"/>
        </w:rPr>
      </w:pPr>
      <w:r>
        <w:rPr>
          <w:rFonts w:ascii="Times New Roman" w:hAnsi="Times New Roman" w:eastAsia="楷体_GB2312"/>
          <w:b/>
          <w:bCs/>
          <w:sz w:val="32"/>
          <w:szCs w:val="32"/>
        </w:rPr>
        <w:t>研究方向1(指南代码</w:t>
      </w:r>
      <w:r>
        <w:rPr>
          <w:rFonts w:hint="eastAsia" w:ascii="Times New Roman" w:hAnsi="Times New Roman" w:eastAsia="楷体_GB2312"/>
          <w:b/>
          <w:bCs/>
          <w:sz w:val="32"/>
          <w:szCs w:val="32"/>
          <w:lang w:val="en-US" w:eastAsia="zh-CN"/>
        </w:rPr>
        <w:t>3</w:t>
      </w:r>
      <w:r>
        <w:rPr>
          <w:rFonts w:ascii="Times New Roman" w:hAnsi="Times New Roman" w:eastAsia="楷体_GB2312"/>
          <w:b/>
          <w:bCs/>
          <w:sz w:val="32"/>
          <w:szCs w:val="32"/>
        </w:rPr>
        <w:t>001)：</w:t>
      </w:r>
      <w:r>
        <w:rPr>
          <w:rFonts w:hint="eastAsia" w:ascii="Times New Roman" w:hAnsi="Times New Roman" w:eastAsia="楷体_GB2312"/>
          <w:b/>
          <w:bCs/>
          <w:sz w:val="32"/>
          <w:szCs w:val="32"/>
        </w:rPr>
        <w:t>巴彦淖尔抗逆灌草种质保育、生态建植与晚霜冻害防控一体化技术研究</w:t>
      </w:r>
    </w:p>
    <w:p w14:paraId="05BF8A41">
      <w:pPr>
        <w:pStyle w:val="2"/>
        <w:keepNext w:val="0"/>
        <w:keepLines w:val="0"/>
        <w:pageBreakBefore w:val="0"/>
        <w:widowControl w:val="0"/>
        <w:kinsoku/>
        <w:wordWrap/>
        <w:overflowPunct/>
        <w:topLinePunct w:val="0"/>
        <w:autoSpaceDE/>
        <w:autoSpaceDN/>
        <w:bidi w:val="0"/>
        <w:spacing w:line="600" w:lineRule="exact"/>
        <w:textAlignment w:val="auto"/>
        <w:rPr>
          <w:color w:val="auto"/>
        </w:rPr>
      </w:pPr>
      <w:r>
        <w:rPr>
          <w:rFonts w:hint="eastAsia"/>
          <w:color w:val="auto"/>
          <w:lang w:val="en-US" w:eastAsia="zh-CN"/>
        </w:rPr>
        <w:t xml:space="preserve">  </w:t>
      </w:r>
      <w:r>
        <w:rPr>
          <w:rFonts w:ascii="Times New Roman" w:hAnsi="Times New Roman" w:eastAsia="仿宋"/>
          <w:b/>
          <w:bCs/>
          <w:color w:val="auto"/>
          <w:sz w:val="32"/>
          <w:szCs w:val="32"/>
        </w:rPr>
        <w:t>1.研究内容</w:t>
      </w:r>
    </w:p>
    <w:p w14:paraId="4D9A6C2C">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开展巴彦淖尔全域珍稀保护灌草、乡土树种种质资源调查与收集，</w:t>
      </w:r>
      <w:r>
        <w:rPr>
          <w:rFonts w:hint="eastAsia" w:ascii="Times New Roman" w:hAnsi="Times New Roman" w:eastAsia="仿宋_GB2312"/>
          <w:sz w:val="32"/>
          <w:szCs w:val="32"/>
          <w:lang w:val="en-US" w:eastAsia="zh-CN"/>
        </w:rPr>
        <w:t>建设</w:t>
      </w:r>
      <w:r>
        <w:rPr>
          <w:rFonts w:hint="eastAsia" w:ascii="Times New Roman" w:hAnsi="Times New Roman" w:eastAsia="仿宋_GB2312"/>
          <w:sz w:val="32"/>
          <w:szCs w:val="32"/>
        </w:rPr>
        <w:t>种质资源库，</w:t>
      </w:r>
      <w:r>
        <w:rPr>
          <w:rFonts w:hint="eastAsia" w:ascii="Times New Roman" w:hAnsi="Times New Roman" w:eastAsia="仿宋_GB2312"/>
          <w:sz w:val="32"/>
          <w:szCs w:val="32"/>
          <w:lang w:eastAsia="zh-CN"/>
        </w:rPr>
        <w:t>通过</w:t>
      </w:r>
      <w:r>
        <w:rPr>
          <w:rFonts w:hint="eastAsia" w:ascii="Times New Roman" w:hAnsi="Times New Roman" w:eastAsia="仿宋_GB2312"/>
          <w:sz w:val="32"/>
          <w:szCs w:val="32"/>
        </w:rPr>
        <w:t>开展抗逆性试验，综合评定种质环境适应性、生长稳定性与生态应用价值，筛选适配</w:t>
      </w:r>
      <w:bookmarkStart w:id="0" w:name="_GoBack"/>
      <w:bookmarkEnd w:id="0"/>
      <w:r>
        <w:rPr>
          <w:rFonts w:hint="eastAsia" w:ascii="Times New Roman" w:hAnsi="Times New Roman" w:eastAsia="仿宋_GB2312"/>
          <w:sz w:val="32"/>
          <w:szCs w:val="32"/>
        </w:rPr>
        <w:t>不同立地条件的优势乡土种质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研发优异种质保育扩繁与种子丸粒化包衣技术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通过</w:t>
      </w:r>
      <w:r>
        <w:rPr>
          <w:rFonts w:hint="eastAsia" w:ascii="Times New Roman" w:hAnsi="Times New Roman" w:eastAsia="仿宋_GB2312"/>
          <w:sz w:val="32"/>
          <w:szCs w:val="32"/>
        </w:rPr>
        <w:t>育苗基质配比、水肥调控等参数</w:t>
      </w:r>
      <w:r>
        <w:rPr>
          <w:rFonts w:hint="eastAsia" w:ascii="Times New Roman" w:hAnsi="Times New Roman" w:eastAsia="仿宋_GB2312"/>
          <w:sz w:val="32"/>
          <w:szCs w:val="32"/>
          <w:lang w:val="en-US" w:eastAsia="zh-CN"/>
        </w:rPr>
        <w:t>配置研究</w:t>
      </w:r>
      <w:r>
        <w:rPr>
          <w:rFonts w:hint="eastAsia" w:ascii="Times New Roman" w:hAnsi="Times New Roman" w:eastAsia="仿宋_GB2312"/>
          <w:sz w:val="32"/>
          <w:szCs w:val="32"/>
        </w:rPr>
        <w:t>，建立标准化种苗扩繁技术体系；筛选环保粘结剂、高倍保水剂等功能辅料，研发适配</w:t>
      </w:r>
      <w:r>
        <w:rPr>
          <w:rFonts w:hint="eastAsia" w:ascii="Times New Roman" w:hAnsi="Times New Roman" w:eastAsia="仿宋_GB2312"/>
          <w:sz w:val="32"/>
          <w:szCs w:val="32"/>
          <w:lang w:val="en-US" w:eastAsia="zh-CN"/>
        </w:rPr>
        <w:t>不同</w:t>
      </w:r>
      <w:r>
        <w:rPr>
          <w:rFonts w:hint="eastAsia" w:ascii="Times New Roman" w:hAnsi="Times New Roman" w:eastAsia="仿宋_GB2312"/>
          <w:sz w:val="32"/>
          <w:szCs w:val="32"/>
        </w:rPr>
        <w:t>困难立地的丸粒化包衣配方与工艺参数，提升</w:t>
      </w:r>
      <w:r>
        <w:rPr>
          <w:rFonts w:hint="eastAsia" w:ascii="Times New Roman" w:hAnsi="Times New Roman" w:eastAsia="仿宋_GB2312"/>
          <w:sz w:val="32"/>
          <w:szCs w:val="32"/>
          <w:lang w:eastAsia="zh-CN"/>
        </w:rPr>
        <w:t>苗木成活</w:t>
      </w:r>
      <w:r>
        <w:rPr>
          <w:rFonts w:hint="eastAsia" w:ascii="Times New Roman" w:hAnsi="Times New Roman" w:eastAsia="仿宋_GB2312"/>
          <w:sz w:val="32"/>
          <w:szCs w:val="32"/>
        </w:rPr>
        <w:t>率</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在典型困难立地开展建植试验，综合播植时期、立地空间与物种适配关系，构建“时—空—种”协同建植</w:t>
      </w:r>
      <w:r>
        <w:rPr>
          <w:rFonts w:hint="eastAsia" w:ascii="Times New Roman" w:hAnsi="Times New Roman" w:eastAsia="仿宋_GB2312"/>
          <w:sz w:val="32"/>
          <w:szCs w:val="32"/>
          <w:lang w:val="en-US" w:eastAsia="zh-CN"/>
        </w:rPr>
        <w:t>技术体系，形成差异化修复模式；面向本地主栽果树花期、幼果期冻害防控需求，研发晚霜冻害监测预警与差异化主动防控技术，形成灾前预警、冻害防控、灾后修复一体化技术体系并推广应用。</w:t>
      </w:r>
    </w:p>
    <w:p w14:paraId="121ACDBD">
      <w:pPr>
        <w:keepNext w:val="0"/>
        <w:keepLines w:val="0"/>
        <w:pageBreakBefore w:val="0"/>
        <w:widowControl w:val="0"/>
        <w:kinsoku/>
        <w:wordWrap/>
        <w:overflowPunct/>
        <w:topLinePunct w:val="0"/>
        <w:autoSpaceDE/>
        <w:autoSpaceDN/>
        <w:bidi w:val="0"/>
        <w:spacing w:line="600" w:lineRule="exact"/>
        <w:ind w:firstLine="643" w:firstLineChars="200"/>
        <w:textAlignment w:val="auto"/>
        <w:rPr>
          <w:rFonts w:ascii="Times New Roman" w:hAnsi="Times New Roman" w:eastAsia="黑体"/>
          <w:sz w:val="32"/>
          <w:szCs w:val="32"/>
        </w:rPr>
      </w:pPr>
      <w:r>
        <w:rPr>
          <w:rFonts w:ascii="Times New Roman" w:hAnsi="Times New Roman" w:eastAsia="仿宋"/>
          <w:b/>
          <w:bCs/>
          <w:sz w:val="32"/>
          <w:szCs w:val="32"/>
        </w:rPr>
        <w:t>2.考核指标</w:t>
      </w:r>
    </w:p>
    <w:p w14:paraId="54EBEA6B">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Nimbus Roman No9 L" w:hAnsi="Nimbus Roman No9 L" w:eastAsia="仿宋_GB2312" w:cs="Nimbus Roman No9 L"/>
          <w:b/>
          <w:bCs/>
          <w:sz w:val="32"/>
          <w:szCs w:val="32"/>
        </w:rPr>
      </w:pPr>
      <w:r>
        <w:rPr>
          <w:rFonts w:hint="eastAsia" w:ascii="Times New Roman" w:hAnsi="Times New Roman" w:eastAsia="仿宋_GB2312"/>
          <w:sz w:val="32"/>
          <w:szCs w:val="32"/>
        </w:rPr>
        <w:t>建立种质资源基础信息及科研数据库1套；形成种质筛选、繁育提质、精准修复一体化可复制推广技术模式1套；收集保存优异抗逆种质80份以上，建立保育圃1处；建立不同立地条件差异化建植示范区，</w:t>
      </w:r>
      <w:r>
        <w:rPr>
          <w:rFonts w:hint="eastAsia" w:ascii="Times New Roman" w:hAnsi="Times New Roman" w:eastAsia="仿宋_GB2312"/>
          <w:sz w:val="32"/>
          <w:szCs w:val="32"/>
          <w:lang w:eastAsia="zh-CN"/>
        </w:rPr>
        <w:t>示范</w:t>
      </w:r>
      <w:r>
        <w:rPr>
          <w:rFonts w:hint="eastAsia" w:ascii="Times New Roman" w:hAnsi="Times New Roman" w:eastAsia="仿宋_GB2312"/>
          <w:sz w:val="32"/>
          <w:szCs w:val="32"/>
        </w:rPr>
        <w:t>面积</w:t>
      </w:r>
      <w:r>
        <w:rPr>
          <w:rFonts w:hint="eastAsia" w:ascii="Times New Roman" w:hAnsi="Times New Roman" w:eastAsia="仿宋_GB2312"/>
          <w:sz w:val="32"/>
          <w:szCs w:val="32"/>
          <w:lang w:eastAsia="zh-CN"/>
        </w:rPr>
        <w:t>不少于</w:t>
      </w:r>
      <w:r>
        <w:rPr>
          <w:rFonts w:hint="eastAsia" w:ascii="Times New Roman" w:hAnsi="Times New Roman" w:eastAsia="仿宋_GB2312"/>
          <w:sz w:val="32"/>
          <w:szCs w:val="32"/>
        </w:rPr>
        <w:t>150亩</w:t>
      </w:r>
      <w:r>
        <w:rPr>
          <w:rFonts w:hint="eastAsia" w:ascii="国标楷体-GB/T 2312" w:hAnsi="国标楷体-GB/T 2312" w:eastAsia="国标楷体-GB/T 2312" w:cs="国标楷体-GB/T 2312"/>
          <w:b/>
          <w:bCs/>
          <w:sz w:val="28"/>
          <w:szCs w:val="28"/>
        </w:rPr>
        <w:t>（乡土珍稀灌草建植示范区建植后提升至35%以上；种子丸粒化建植示范区建植后覆盖度提升到2</w:t>
      </w:r>
      <w:r>
        <w:rPr>
          <w:rFonts w:hint="eastAsia" w:ascii="国标楷体-GB/T 2312" w:hAnsi="国标楷体-GB/T 2312" w:eastAsia="国标楷体-GB/T 2312" w:cs="国标楷体-GB/T 2312"/>
          <w:b/>
          <w:bCs/>
          <w:sz w:val="28"/>
          <w:szCs w:val="28"/>
          <w:lang w:val="en-US" w:eastAsia="zh-CN"/>
        </w:rPr>
        <w:t>0</w:t>
      </w:r>
      <w:r>
        <w:rPr>
          <w:rFonts w:hint="eastAsia" w:ascii="国标楷体-GB/T 2312" w:hAnsi="国标楷体-GB/T 2312" w:eastAsia="国标楷体-GB/T 2312" w:cs="国标楷体-GB/T 2312"/>
          <w:b/>
          <w:bCs/>
          <w:sz w:val="28"/>
          <w:szCs w:val="28"/>
        </w:rPr>
        <w:t>%以上）</w:t>
      </w:r>
      <w:r>
        <w:rPr>
          <w:rFonts w:hint="eastAsia" w:ascii="Times New Roman" w:hAnsi="Times New Roman" w:eastAsia="仿宋_GB2312"/>
          <w:sz w:val="32"/>
          <w:szCs w:val="32"/>
        </w:rPr>
        <w:t>。研发本地主栽果树晚霜冻智慧预警系统1套，集成“气象预判-前置预防-应急防控-灾后修复”一体化全链条综合防控技术体系1套，编制适配寒旱区的梨园晚霜防控标准化技术规程1项，建立晚霜冻害防控示范基地3处，示范面积不少于100亩</w:t>
      </w:r>
      <w:r>
        <w:rPr>
          <w:rFonts w:hint="eastAsia" w:ascii="国标楷体-GB/T 2312" w:hAnsi="国标楷体-GB/T 2312" w:eastAsia="国标楷体-GB/T 2312" w:cs="国标楷体-GB/T 2312"/>
          <w:b/>
          <w:bCs/>
          <w:sz w:val="28"/>
          <w:szCs w:val="28"/>
        </w:rPr>
        <w:t>（晚霜冻害防控效率较无防控措施提升≥40%，冻害损失率≤15%，辐射区果园晚霜冻害损失率较往年降低≥20%，晚霜冻害预警准确率≥85%，预警提前时间≥72小时）</w:t>
      </w:r>
      <w:r>
        <w:rPr>
          <w:rFonts w:hint="eastAsia" w:ascii="Times New Roman" w:hAnsi="Times New Roman" w:eastAsia="仿宋_GB2312"/>
          <w:sz w:val="32"/>
          <w:szCs w:val="32"/>
        </w:rPr>
        <w:t>。</w:t>
      </w:r>
      <w:r>
        <w:rPr>
          <w:rFonts w:hint="default" w:ascii="Nimbus Roman No9 L" w:hAnsi="Nimbus Roman No9 L" w:eastAsia="仿宋_GB2312" w:cs="Nimbus Roman No9 L"/>
          <w:sz w:val="32"/>
          <w:szCs w:val="32"/>
        </w:rPr>
        <w:t>发表学术论文2～3篇；申请发明专利2项；申请软件著作权2～3项。开展技术培训2次以上，培训人员100人次以上。</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华文仿宋"/>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Nimbus Roman No9 L">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国标楷体-GB/T 2312">
    <w:panose1 w:val="020005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国标宋体">
    <w:panose1 w:val="02000500000000000000"/>
    <w:charset w:val="86"/>
    <w:family w:val="auto"/>
    <w:pitch w:val="default"/>
    <w:sig w:usb0="00000001" w:usb1="28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国标宋体-GB/T 2312">
    <w:panose1 w:val="02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0BD2F">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
                          </w:sdtPr>
                          <w:sdtContent>
                            <w:p w14:paraId="522901D2">
                              <w:pPr>
                                <w:pStyle w:val="5"/>
                                <w:jc w:val="center"/>
                              </w:pPr>
                              <w:r>
                                <w:rPr>
                                  <w:rFonts w:hint="eastAsia" w:ascii="国标宋体-GB/T 2312" w:hAnsi="国标宋体-GB/T 2312" w:eastAsia="国标宋体-GB/T 2312" w:cs="国标宋体-GB/T 2312"/>
                                  <w:sz w:val="28"/>
                                  <w:szCs w:val="28"/>
                                </w:rPr>
                                <w:fldChar w:fldCharType="begin"/>
                              </w:r>
                              <w:r>
                                <w:rPr>
                                  <w:rFonts w:hint="eastAsia" w:ascii="国标宋体-GB/T 2312" w:hAnsi="国标宋体-GB/T 2312" w:eastAsia="国标宋体-GB/T 2312" w:cs="国标宋体-GB/T 2312"/>
                                  <w:sz w:val="28"/>
                                  <w:szCs w:val="28"/>
                                </w:rPr>
                                <w:instrText xml:space="preserve">PAGE   \* MERGEFORMAT</w:instrText>
                              </w:r>
                              <w:r>
                                <w:rPr>
                                  <w:rFonts w:hint="eastAsia" w:ascii="国标宋体-GB/T 2312" w:hAnsi="国标宋体-GB/T 2312" w:eastAsia="国标宋体-GB/T 2312" w:cs="国标宋体-GB/T 2312"/>
                                  <w:sz w:val="28"/>
                                  <w:szCs w:val="28"/>
                                </w:rPr>
                                <w:fldChar w:fldCharType="separate"/>
                              </w:r>
                              <w:r>
                                <w:rPr>
                                  <w:rFonts w:hint="eastAsia" w:ascii="国标宋体-GB/T 2312" w:hAnsi="国标宋体-GB/T 2312" w:eastAsia="国标宋体-GB/T 2312" w:cs="国标宋体-GB/T 2312"/>
                                  <w:sz w:val="28"/>
                                  <w:szCs w:val="28"/>
                                  <w:lang w:val="zh-CN"/>
                                </w:rPr>
                                <w:t>40</w:t>
                              </w:r>
                              <w:r>
                                <w:rPr>
                                  <w:rFonts w:hint="eastAsia" w:ascii="国标宋体-GB/T 2312" w:hAnsi="国标宋体-GB/T 2312" w:eastAsia="国标宋体-GB/T 2312" w:cs="国标宋体-GB/T 2312"/>
                                  <w:sz w:val="28"/>
                                  <w:szCs w:val="28"/>
                                </w:rPr>
                                <w:fldChar w:fldCharType="end"/>
                              </w:r>
                            </w:p>
                          </w:sdtContent>
                        </w:sdt>
                        <w:p w14:paraId="1F1A99B8">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
                    </w:sdtPr>
                    <w:sdtContent>
                      <w:p w14:paraId="522901D2">
                        <w:pPr>
                          <w:pStyle w:val="5"/>
                          <w:jc w:val="center"/>
                        </w:pPr>
                        <w:r>
                          <w:rPr>
                            <w:rFonts w:hint="eastAsia" w:ascii="国标宋体-GB/T 2312" w:hAnsi="国标宋体-GB/T 2312" w:eastAsia="国标宋体-GB/T 2312" w:cs="国标宋体-GB/T 2312"/>
                            <w:sz w:val="28"/>
                            <w:szCs w:val="28"/>
                          </w:rPr>
                          <w:fldChar w:fldCharType="begin"/>
                        </w:r>
                        <w:r>
                          <w:rPr>
                            <w:rFonts w:hint="eastAsia" w:ascii="国标宋体-GB/T 2312" w:hAnsi="国标宋体-GB/T 2312" w:eastAsia="国标宋体-GB/T 2312" w:cs="国标宋体-GB/T 2312"/>
                            <w:sz w:val="28"/>
                            <w:szCs w:val="28"/>
                          </w:rPr>
                          <w:instrText xml:space="preserve">PAGE   \* MERGEFORMAT</w:instrText>
                        </w:r>
                        <w:r>
                          <w:rPr>
                            <w:rFonts w:hint="eastAsia" w:ascii="国标宋体-GB/T 2312" w:hAnsi="国标宋体-GB/T 2312" w:eastAsia="国标宋体-GB/T 2312" w:cs="国标宋体-GB/T 2312"/>
                            <w:sz w:val="28"/>
                            <w:szCs w:val="28"/>
                          </w:rPr>
                          <w:fldChar w:fldCharType="separate"/>
                        </w:r>
                        <w:r>
                          <w:rPr>
                            <w:rFonts w:hint="eastAsia" w:ascii="国标宋体-GB/T 2312" w:hAnsi="国标宋体-GB/T 2312" w:eastAsia="国标宋体-GB/T 2312" w:cs="国标宋体-GB/T 2312"/>
                            <w:sz w:val="28"/>
                            <w:szCs w:val="28"/>
                            <w:lang w:val="zh-CN"/>
                          </w:rPr>
                          <w:t>40</w:t>
                        </w:r>
                        <w:r>
                          <w:rPr>
                            <w:rFonts w:hint="eastAsia" w:ascii="国标宋体-GB/T 2312" w:hAnsi="国标宋体-GB/T 2312" w:eastAsia="国标宋体-GB/T 2312" w:cs="国标宋体-GB/T 2312"/>
                            <w:sz w:val="28"/>
                            <w:szCs w:val="28"/>
                          </w:rPr>
                          <w:fldChar w:fldCharType="end"/>
                        </w:r>
                      </w:p>
                    </w:sdtContent>
                  </w:sdt>
                  <w:p w14:paraId="1F1A99B8">
                    <w:pPr>
                      <w:pStyle w:val="2"/>
                    </w:pPr>
                  </w:p>
                </w:txbxContent>
              </v:textbox>
            </v:shape>
          </w:pict>
        </mc:Fallback>
      </mc:AlternateContent>
    </w:r>
  </w:p>
  <w:p w14:paraId="2DA6F13E">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F67"/>
    <w:rsid w:val="000D3D21"/>
    <w:rsid w:val="00104C12"/>
    <w:rsid w:val="00175AE7"/>
    <w:rsid w:val="00204AE8"/>
    <w:rsid w:val="00210B8A"/>
    <w:rsid w:val="002313CB"/>
    <w:rsid w:val="00272AA6"/>
    <w:rsid w:val="002A3061"/>
    <w:rsid w:val="002C49EC"/>
    <w:rsid w:val="002E1EE5"/>
    <w:rsid w:val="002F40A4"/>
    <w:rsid w:val="00327ABF"/>
    <w:rsid w:val="00392FD8"/>
    <w:rsid w:val="003A54FA"/>
    <w:rsid w:val="003B0803"/>
    <w:rsid w:val="003B10BD"/>
    <w:rsid w:val="003D0F87"/>
    <w:rsid w:val="003E4E52"/>
    <w:rsid w:val="003F3068"/>
    <w:rsid w:val="0045727A"/>
    <w:rsid w:val="004B6090"/>
    <w:rsid w:val="004E0A98"/>
    <w:rsid w:val="00522E0A"/>
    <w:rsid w:val="00565498"/>
    <w:rsid w:val="005E675C"/>
    <w:rsid w:val="00647C76"/>
    <w:rsid w:val="0075747D"/>
    <w:rsid w:val="007635E5"/>
    <w:rsid w:val="007B0679"/>
    <w:rsid w:val="007C3572"/>
    <w:rsid w:val="00802B93"/>
    <w:rsid w:val="008030B5"/>
    <w:rsid w:val="008A4F67"/>
    <w:rsid w:val="008E6063"/>
    <w:rsid w:val="00973A94"/>
    <w:rsid w:val="009C7997"/>
    <w:rsid w:val="00A23879"/>
    <w:rsid w:val="00AB29D7"/>
    <w:rsid w:val="00AD4E04"/>
    <w:rsid w:val="00B73CAD"/>
    <w:rsid w:val="00BD4D59"/>
    <w:rsid w:val="00BE2EB1"/>
    <w:rsid w:val="00C42547"/>
    <w:rsid w:val="00C5180C"/>
    <w:rsid w:val="00C57324"/>
    <w:rsid w:val="00C74AD7"/>
    <w:rsid w:val="00CC1E1B"/>
    <w:rsid w:val="00D42F2C"/>
    <w:rsid w:val="00D65474"/>
    <w:rsid w:val="00D66A55"/>
    <w:rsid w:val="00D844EB"/>
    <w:rsid w:val="00E0536F"/>
    <w:rsid w:val="00E830C0"/>
    <w:rsid w:val="00E91737"/>
    <w:rsid w:val="00F02DBC"/>
    <w:rsid w:val="00FE1F8F"/>
    <w:rsid w:val="2F3731CF"/>
    <w:rsid w:val="36770CCB"/>
    <w:rsid w:val="4FD78FC4"/>
    <w:rsid w:val="DBFFECBB"/>
    <w:rsid w:val="FEADDD2B"/>
    <w:rsid w:val="FF9DC0CD"/>
    <w:rsid w:val="FFB4D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link w:val="11"/>
    <w:qFormat/>
    <w:uiPriority w:val="9"/>
    <w:pPr>
      <w:spacing w:line="600" w:lineRule="exact"/>
      <w:ind w:firstLine="569" w:firstLineChars="200"/>
      <w:outlineLvl w:val="1"/>
    </w:pPr>
    <w:rPr>
      <w:rFonts w:ascii="楷体_GB2312" w:hAnsi="仿宋_GB2312" w:eastAsia="楷体_GB2312" w:cs="仿宋_GB2312"/>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1"/>
    <w:unhideWhenUsed/>
    <w:qFormat/>
    <w:uiPriority w:val="99"/>
    <w:pPr>
      <w:spacing w:after="0"/>
      <w:ind w:firstLine="420" w:firstLineChars="100"/>
    </w:pPr>
    <w:rPr>
      <w:rFonts w:ascii="Calibri" w:hAnsi="Calibri" w:cs="Times New Roman"/>
    </w:rPr>
  </w:style>
  <w:style w:type="paragraph" w:styleId="3">
    <w:name w:val="Body Text"/>
    <w:basedOn w:val="1"/>
    <w:qFormat/>
    <w:uiPriority w:val="99"/>
    <w:pPr>
      <w:spacing w:line="360" w:lineRule="auto"/>
    </w:pPr>
    <w:rPr>
      <w:rFonts w:ascii="黑体" w:cs="黑体"/>
      <w:b/>
      <w:bCs/>
      <w:sz w:val="32"/>
      <w:szCs w:val="32"/>
    </w:rPr>
  </w:style>
  <w:style w:type="paragraph" w:styleId="5">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字符"/>
    <w:basedOn w:val="8"/>
    <w:link w:val="6"/>
    <w:qFormat/>
    <w:uiPriority w:val="99"/>
    <w:rPr>
      <w:sz w:val="18"/>
      <w:szCs w:val="18"/>
    </w:rPr>
  </w:style>
  <w:style w:type="character" w:customStyle="1" w:styleId="10">
    <w:name w:val="页脚 字符"/>
    <w:basedOn w:val="8"/>
    <w:link w:val="5"/>
    <w:qFormat/>
    <w:uiPriority w:val="99"/>
    <w:rPr>
      <w:sz w:val="18"/>
      <w:szCs w:val="18"/>
    </w:rPr>
  </w:style>
  <w:style w:type="character" w:customStyle="1" w:styleId="11">
    <w:name w:val="标题 2 字符"/>
    <w:basedOn w:val="8"/>
    <w:link w:val="4"/>
    <w:qFormat/>
    <w:uiPriority w:val="9"/>
    <w:rPr>
      <w:rFonts w:ascii="楷体_GB2312" w:hAnsi="仿宋_GB2312" w:eastAsia="楷体_GB2312" w:cs="仿宋_GB2312"/>
      <w:b/>
      <w:bCs/>
      <w:sz w:val="32"/>
      <w:szCs w:val="32"/>
    </w:rPr>
  </w:style>
  <w:style w:type="paragraph" w:customStyle="1" w:styleId="12">
    <w:name w:val="正文中文"/>
    <w:qFormat/>
    <w:uiPriority w:val="4"/>
    <w:pPr>
      <w:spacing w:line="360" w:lineRule="auto"/>
      <w:ind w:firstLine="64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3317</Words>
  <Characters>18910</Characters>
  <Lines>157</Lines>
  <Paragraphs>44</Paragraphs>
  <TotalTime>1</TotalTime>
  <ScaleCrop>false</ScaleCrop>
  <LinksUpToDate>false</LinksUpToDate>
  <CharactersWithSpaces>22183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2026-04-17T01:42:00Z</dcterms:created>
  <dc:creator>BaiWenZhi</dc:creator>
  <cp:lastModifiedBy>六个点儿</cp:lastModifiedBy>
  <cp:lastPrinted>2026-08-27T11:31:03Z</cp:lastPrinted>
  <dcterms:modified xsi:type="dcterms:W3CDTF">2026-08-27T11:32:22Z</dcterms:modified>
  <cp:revision>156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F05A07BCD2FE2C8B09938F6ABB04ECD6_43</vt:lpwstr>
  </property>
</Properties>
</file>