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BC4E6">
      <w:pPr>
        <w:snapToGrid w:val="0"/>
        <w:jc w:val="left"/>
        <w:rPr>
          <w:rFonts w:ascii="仿宋_GB2312" w:hAnsi="Times New Roman" w:eastAsia="仿宋_GB2312"/>
          <w:sz w:val="32"/>
          <w:szCs w:val="32"/>
        </w:rPr>
      </w:pPr>
      <w:r>
        <w:rPr>
          <w:rFonts w:hint="eastAsia" w:ascii="仿宋_GB2312" w:hAnsi="Times New Roman" w:eastAsia="仿宋_GB2312"/>
          <w:sz w:val="32"/>
          <w:szCs w:val="32"/>
        </w:rPr>
        <w:t>附件1</w:t>
      </w:r>
    </w:p>
    <w:p w14:paraId="4F6A957D">
      <w:pPr>
        <w:snapToGrid w:val="0"/>
        <w:jc w:val="left"/>
        <w:rPr>
          <w:rFonts w:ascii="仿宋_GB2312" w:hAnsi="Times New Roman" w:eastAsia="仿宋_GB2312"/>
          <w:sz w:val="32"/>
          <w:szCs w:val="32"/>
        </w:rPr>
      </w:pPr>
    </w:p>
    <w:p w14:paraId="6FA5FAD0">
      <w:pPr>
        <w:snapToGrid w:val="0"/>
        <w:jc w:val="center"/>
        <w:rPr>
          <w:rFonts w:ascii="Times New Roman" w:hAnsi="Times New Roman" w:eastAsia="方正小标宋简体"/>
          <w:b/>
          <w:bCs/>
          <w:sz w:val="44"/>
          <w:szCs w:val="44"/>
        </w:rPr>
      </w:pPr>
      <w:r>
        <w:rPr>
          <w:rFonts w:hint="eastAsia" w:ascii="Times New Roman" w:hAnsi="Times New Roman" w:eastAsia="方正小标宋简体"/>
          <w:sz w:val="44"/>
          <w:szCs w:val="44"/>
        </w:rPr>
        <w:t>2025年自治区科技“突围”工程生物技术专项第二批</w:t>
      </w:r>
      <w:r>
        <w:rPr>
          <w:rFonts w:hint="eastAsia" w:ascii="Times New Roman" w:hAnsi="Times New Roman" w:eastAsia="方正小标宋简体"/>
          <w:sz w:val="44"/>
          <w:szCs w:val="32"/>
        </w:rPr>
        <w:t>“揭榜挂帅”项目</w:t>
      </w:r>
      <w:r>
        <w:rPr>
          <w:rFonts w:hint="eastAsia" w:ascii="Times New Roman" w:hAnsi="Times New Roman" w:eastAsia="方正小标宋简体"/>
          <w:sz w:val="44"/>
          <w:szCs w:val="44"/>
        </w:rPr>
        <w:t>技术榜单</w:t>
      </w:r>
    </w:p>
    <w:p w14:paraId="1AC01861">
      <w:pPr>
        <w:numPr>
          <w:ilvl w:val="255"/>
          <w:numId w:val="0"/>
        </w:numPr>
        <w:adjustRightInd w:val="0"/>
        <w:snapToGrid w:val="0"/>
        <w:spacing w:line="600" w:lineRule="exact"/>
        <w:ind w:firstLine="643" w:firstLineChars="200"/>
        <w:rPr>
          <w:rFonts w:ascii="黑体" w:hAnsi="黑体" w:eastAsia="黑体" w:cs="仿宋"/>
          <w:b/>
          <w:bCs/>
          <w:sz w:val="32"/>
          <w:szCs w:val="32"/>
        </w:rPr>
      </w:pPr>
    </w:p>
    <w:p w14:paraId="6067B37F">
      <w:pPr>
        <w:numPr>
          <w:ilvl w:val="255"/>
          <w:numId w:val="0"/>
        </w:numPr>
        <w:adjustRightInd w:val="0"/>
        <w:snapToGrid w:val="0"/>
        <w:spacing w:line="600" w:lineRule="exact"/>
        <w:ind w:firstLine="640" w:firstLineChars="200"/>
        <w:rPr>
          <w:rFonts w:ascii="黑体" w:hAnsi="黑体" w:eastAsia="黑体" w:cs="黑体"/>
          <w:color w:val="000000"/>
          <w:sz w:val="32"/>
          <w:szCs w:val="32"/>
        </w:rPr>
      </w:pPr>
      <w:r>
        <w:rPr>
          <w:rFonts w:hint="eastAsia" w:ascii="黑体" w:hAnsi="黑体" w:eastAsia="黑体" w:cs="仿宋"/>
          <w:bCs/>
          <w:sz w:val="32"/>
          <w:szCs w:val="32"/>
        </w:rPr>
        <w:t>一</w:t>
      </w:r>
      <w:r>
        <w:rPr>
          <w:rFonts w:ascii="黑体" w:hAnsi="黑体" w:eastAsia="黑体" w:cs="仿宋"/>
          <w:bCs/>
          <w:sz w:val="32"/>
          <w:szCs w:val="32"/>
        </w:rPr>
        <w:t>、</w:t>
      </w:r>
      <w:r>
        <w:rPr>
          <w:rFonts w:hint="eastAsia" w:ascii="黑体" w:hAnsi="黑体" w:eastAsia="黑体" w:cs="黑体"/>
          <w:color w:val="000000"/>
          <w:sz w:val="32"/>
          <w:szCs w:val="32"/>
        </w:rPr>
        <w:t>肉牛生物育种核心技术突围及其示范应用</w:t>
      </w:r>
    </w:p>
    <w:p w14:paraId="0E76E3E4">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14:paraId="055DF7D1">
      <w:pPr>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lang w:bidi="ar"/>
        </w:rPr>
        <w:t>以培育重大战略性优质高产肉牛新品系为目标，深度融合生物技术BT、信息技术IT和人工智能AI等技术，聚焦“大理石纹优质+双肌高产”肉牛选育，在技术研究层面，通过优化小体量“微型”编辑器，并结合新型胚胎干细胞育种方法，构建优质高产基因编辑技术体系，建立肉牛高效育种技术平台；在产品积累层面，围绕影响肉质的主效基因和位点进行筛选和基因编辑，系统提升牛肉的整体品质，包括风味、大理石纹、不饱和脂肪酸和肉质色泽等肉品质性状，制备优质高产肉牛新品种（系），并组建核心群，为我国提供优质高产肉牛核心种源；在产业化示范层面，基于CRISPR系统的核酸识别能力，结合等温扩增、信号转换和生物传感技术，实现高灵敏、高特异性的布鲁氏菌病和牛结节性皮肤病的试纸检测，在我区主要核心育种场及种公牛站实现疫病大数据监控，提高养殖效益。</w:t>
      </w:r>
    </w:p>
    <w:p w14:paraId="481190C3">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14:paraId="4C9FF429">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内蒙古主导肉牛为基础品种，通过“基因编辑+AI+智能检测”技术融合，开发5项以上关键技术（含4-8项高效精准基因编辑新技术），建立200头高产新品系和80头优质新品系核心群；基因编辑效率提升2-5倍，产肉性能提高15%（500kg基准），肌内脂肪含量从4%提升至10%；实现病原检测灵敏度1拷贝/微升，检测特异性≥99%；完成3个以上核心育种场示范应用，形成稳定遗传的核心种源供应体系。</w:t>
      </w:r>
    </w:p>
    <w:p w14:paraId="29B01582">
      <w:pPr>
        <w:spacing w:line="600" w:lineRule="exact"/>
        <w:ind w:firstLine="643" w:firstLineChars="200"/>
        <w:rPr>
          <w:rFonts w:ascii="仿宋_GB2312" w:hAnsi="仿宋" w:eastAsia="仿宋_GB2312" w:cs="仿宋"/>
          <w:bCs/>
          <w:sz w:val="32"/>
          <w:szCs w:val="32"/>
        </w:rPr>
      </w:pPr>
      <w:r>
        <w:rPr>
          <w:rFonts w:ascii="楷体_GB2312" w:hAnsi="仿宋" w:eastAsia="楷体_GB2312" w:cs="仿宋"/>
          <w:b/>
          <w:color w:val="000000"/>
          <w:sz w:val="32"/>
          <w:szCs w:val="32"/>
        </w:rPr>
        <w:t>3.实施周期：</w:t>
      </w:r>
      <w:r>
        <w:rPr>
          <w:rFonts w:ascii="仿宋_GB2312" w:hAnsi="仿宋" w:eastAsia="仿宋_GB2312" w:cs="仿宋"/>
          <w:bCs/>
          <w:sz w:val="32"/>
          <w:szCs w:val="32"/>
        </w:rPr>
        <w:t>3年</w:t>
      </w:r>
    </w:p>
    <w:p w14:paraId="7762B752">
      <w:pPr>
        <w:spacing w:line="600" w:lineRule="exact"/>
        <w:ind w:firstLine="643" w:firstLineChars="200"/>
        <w:rPr>
          <w:rFonts w:ascii="仿宋_GB2312" w:hAnsi="仿宋" w:eastAsia="仿宋_GB2312" w:cs="仿宋"/>
          <w:bCs/>
          <w:sz w:val="32"/>
          <w:szCs w:val="32"/>
        </w:rPr>
      </w:pPr>
      <w:r>
        <w:rPr>
          <w:rFonts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自治区本级科技专项资金投入800万元，需要企业自筹不低于1600万元。</w:t>
      </w:r>
    </w:p>
    <w:p w14:paraId="211FC824">
      <w:pPr>
        <w:spacing w:line="600" w:lineRule="exact"/>
        <w:ind w:firstLine="480" w:firstLineChars="150"/>
        <w:rPr>
          <w:rFonts w:ascii="黑体" w:hAnsi="黑体" w:eastAsia="黑体"/>
          <w:bCs/>
          <w:sz w:val="32"/>
          <w:szCs w:val="32"/>
          <w:highlight w:val="yellow"/>
        </w:rPr>
      </w:pPr>
      <w:r>
        <w:rPr>
          <w:rFonts w:hint="eastAsia" w:ascii="黑体" w:hAnsi="黑体" w:eastAsia="黑体"/>
          <w:bCs/>
          <w:sz w:val="32"/>
          <w:szCs w:val="32"/>
        </w:rPr>
        <w:t>二、三河牛乳肉性能基因组选育提升及种质创新</w:t>
      </w:r>
    </w:p>
    <w:p w14:paraId="5B4DD096">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14:paraId="5347FD95">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围绕三河牛乳肉性能协同提升与种质创新的总体目标，开展三河牛育种核心群培育与表型数据库建设，系统实施品种登记、生产性能测定（DHI）、体型鉴定、采食量监测等，构建多性状育种；利用基因编辑技术创制具双肌等优异性状的新种质，并高效导入优良基因，在保持三河牛抗逆性的基础上显著提升产肉性能；建立并优化三河牛乳用和肉用性能基因组选择参考群，构建覆盖产奶性状、肉用性状、繁殖性状、体型外貌等性状的基因组育种技术体系。</w:t>
      </w:r>
    </w:p>
    <w:p w14:paraId="0BD816F9">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14:paraId="7BF5F9C3">
      <w:pPr>
        <w:pStyle w:val="7"/>
        <w:spacing w:line="600" w:lineRule="exact"/>
        <w:ind w:firstLine="640" w:firstLineChars="200"/>
        <w:rPr>
          <w:rFonts w:hint="default" w:ascii="仿宋_GB2312" w:hAnsi="Times New Roman" w:eastAsia="仿宋_GB2312"/>
          <w:b w:val="0"/>
          <w:bCs/>
          <w:sz w:val="32"/>
          <w:szCs w:val="32"/>
        </w:rPr>
      </w:pPr>
      <w:r>
        <w:rPr>
          <w:rFonts w:ascii="仿宋_GB2312" w:hAnsi="Times New Roman" w:eastAsia="仿宋_GB2312"/>
          <w:b w:val="0"/>
          <w:bCs/>
          <w:sz w:val="32"/>
          <w:szCs w:val="32"/>
        </w:rPr>
        <w:t>建立三河牛基因组选择参考群规模达2500头以上，建立三河牛泌乳性能基因组预测技术体系和三河牛肉用性状基因组预测技术体系1套；培育高产优质肉用三河牛核心群300头以上，核心群肉用性能关键指标（如眼肌面积、屠宰率）较基础群体显著提高，群体屠宰率提升10%；创制双肌三河牛基因编辑体系2套，获得基因编辑三河牛活体后代，完成基因型和表型鉴定；特色乳品质选育新性状2~3个，获得遗传参数；形成可推广的三河牛高效育种技术体系。</w:t>
      </w:r>
    </w:p>
    <w:p w14:paraId="267BAD98">
      <w:pPr>
        <w:tabs>
          <w:tab w:val="left" w:pos="312"/>
        </w:tabs>
        <w:spacing w:line="600" w:lineRule="exact"/>
        <w:ind w:firstLine="643"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14:paraId="71BF6E84">
      <w:pPr>
        <w:adjustRightInd w:val="0"/>
        <w:snapToGrid w:val="0"/>
        <w:spacing w:line="600" w:lineRule="exact"/>
        <w:ind w:firstLine="643" w:firstLineChars="200"/>
        <w:rPr>
          <w:rFonts w:ascii="仿宋_GB2312" w:hAnsi="仿宋" w:eastAsia="仿宋_GB2312" w:cs="仿宋"/>
          <w:sz w:val="32"/>
          <w:szCs w:val="32"/>
        </w:rPr>
      </w:pPr>
      <w:r>
        <w:rPr>
          <w:rFonts w:ascii="楷体_GB2312" w:hAnsi="仿宋" w:eastAsia="楷体_GB2312" w:cs="仿宋"/>
          <w:b/>
          <w:color w:val="000000"/>
          <w:sz w:val="32"/>
          <w:szCs w:val="32"/>
        </w:rPr>
        <w:t>4.</w:t>
      </w:r>
      <w:r>
        <w:rPr>
          <w:rFonts w:hint="eastAsia" w:ascii="楷体_GB2312" w:hAnsi="仿宋" w:eastAsia="楷体_GB2312" w:cs="仿宋"/>
          <w:b/>
          <w:color w:val="000000"/>
          <w:sz w:val="32"/>
          <w:szCs w:val="32"/>
        </w:rPr>
        <w:t>拟支持资金额度：</w:t>
      </w:r>
      <w:r>
        <w:rPr>
          <w:rFonts w:hint="eastAsia" w:ascii="仿宋_GB2312" w:hAnsi="仿宋" w:eastAsia="仿宋_GB2312" w:cs="仿宋"/>
          <w:sz w:val="32"/>
          <w:szCs w:val="32"/>
        </w:rPr>
        <w:t>自治区本级科技专项资金投入800万元，需要企业自筹不低于1600万元。</w:t>
      </w:r>
    </w:p>
    <w:p w14:paraId="081DC27E">
      <w:pPr>
        <w:numPr>
          <w:ilvl w:val="255"/>
          <w:numId w:val="0"/>
        </w:numPr>
        <w:adjustRightInd w:val="0"/>
        <w:snapToGrid w:val="0"/>
        <w:spacing w:line="600" w:lineRule="exact"/>
        <w:ind w:left="1590" w:leftChars="300" w:hanging="960" w:hangingChars="300"/>
        <w:rPr>
          <w:rFonts w:ascii="黑体" w:hAnsi="黑体" w:eastAsia="黑体" w:cs="仿宋"/>
          <w:bCs/>
          <w:sz w:val="32"/>
          <w:szCs w:val="32"/>
        </w:rPr>
      </w:pPr>
      <w:r>
        <w:rPr>
          <w:rFonts w:hint="eastAsia" w:ascii="黑体" w:hAnsi="黑体" w:eastAsia="黑体" w:cs="仿宋"/>
          <w:bCs/>
          <w:sz w:val="32"/>
          <w:szCs w:val="32"/>
        </w:rPr>
        <w:t>三、奶绵羊生物育种与新品种培育</w:t>
      </w:r>
    </w:p>
    <w:p w14:paraId="78BB16AA">
      <w:pPr>
        <w:numPr>
          <w:ilvl w:val="255"/>
          <w:numId w:val="0"/>
        </w:numPr>
        <w:adjustRightInd w:val="0"/>
        <w:snapToGrid w:val="0"/>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1.研究内容</w:t>
      </w:r>
    </w:p>
    <w:p w14:paraId="3C616F1E">
      <w:pPr>
        <w:numPr>
          <w:ilvl w:val="255"/>
          <w:numId w:val="0"/>
        </w:num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我国无自有奶绵羊品种、引进奶绵羊品种适应力差、传统育种周期长等种业卡脖子问题，开展T2T精准基因组解析，高泌乳、高繁、抗逆关键性状功能基因筛选及性别控制、体外胚胎生产、基因编辑技术联合攻关，突破奶绵羊基因评估与高效繁育一体化生物育种技术体系;针对奶绵羊传统表型选育评估准确率低、关键性状基因协同筛选优化困难等问题，突破泌乳、抗逆关键性状基因育种算法与自动化表型组学整合技术，研发自动化、智能化AI育种平台;针对绵羊乳加工特性不稳定等瓶颈问题，开展标准化绵羊乳产品加工生产技术评估指标体系攻关，研发绵羊奶高附加值产品。构建“技术+平台+产品” 三维生物育种技术体系，培育适应我国北方地区的奶绵羊新品种，引领奶绵羊产业战略升级。</w:t>
      </w:r>
    </w:p>
    <w:p w14:paraId="00F0B961">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14:paraId="2E046BCC">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完成奶绵羊新品种（系）T2T精细基因组图谱1套；建立高产优质奶绵羊全基因组关联选择技术体系1套；挖掘并解析奶绵羊高产优质性状基因20个以上；研发育种检测基因芯片1项；突破体外基因编辑性控胚胎高效生产技术，囊胚率达到25%；获得高泌乳基因编辑胚胎1000枚以上;建立高通量智能化生物育种综合服务平台1个;建立奶绵羊新品种泌乳指标标准评价体系1套;制定绵羊奶产品标准3项；培育高产抗病奶绵羊新品种（系）1个，核心群达到2000只以上；新品种核心群成年母羊泌乳性能达到380 kg/年，泌乳期达到210天/年，产羔率达到180%。建立示范推广点20个以上，推广规模5万只以上。</w:t>
      </w:r>
    </w:p>
    <w:p w14:paraId="7AA8355E">
      <w:pPr>
        <w:numPr>
          <w:ilvl w:val="255"/>
          <w:numId w:val="0"/>
        </w:numPr>
        <w:adjustRightInd w:val="0"/>
        <w:snapToGrid w:val="0"/>
        <w:spacing w:line="600" w:lineRule="exact"/>
        <w:ind w:firstLine="643"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14:paraId="778F606E">
      <w:pPr>
        <w:adjustRightInd w:val="0"/>
        <w:snapToGrid w:val="0"/>
        <w:spacing w:line="600" w:lineRule="exact"/>
        <w:ind w:firstLine="643"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自治区本级科技专项资金投入800万元，需要企业自筹不低于1600万元。</w:t>
      </w:r>
    </w:p>
    <w:p w14:paraId="6E69E08A">
      <w:pPr>
        <w:adjustRightInd w:val="0"/>
        <w:snapToGrid w:val="0"/>
        <w:spacing w:line="600" w:lineRule="exact"/>
        <w:ind w:firstLine="640" w:firstLineChars="200"/>
        <w:rPr>
          <w:rFonts w:ascii="黑体" w:hAnsi="黑体" w:eastAsia="黑体"/>
          <w:b w:val="0"/>
          <w:bCs w:val="0"/>
          <w:sz w:val="32"/>
          <w:szCs w:val="32"/>
        </w:rPr>
      </w:pPr>
      <w:r>
        <w:rPr>
          <w:rFonts w:hint="eastAsia" w:ascii="黑体" w:hAnsi="黑体" w:eastAsia="黑体" w:cs="仿宋"/>
          <w:b w:val="0"/>
          <w:bCs w:val="0"/>
          <w:sz w:val="32"/>
          <w:szCs w:val="32"/>
        </w:rPr>
        <w:t>四、</w:t>
      </w:r>
      <w:r>
        <w:rPr>
          <w:rFonts w:hint="eastAsia" w:ascii="黑体" w:hAnsi="黑体" w:eastAsia="黑体"/>
          <w:b w:val="0"/>
          <w:bCs w:val="0"/>
          <w:sz w:val="32"/>
          <w:szCs w:val="32"/>
        </w:rPr>
        <w:t>非粮生物质合成L-苹果酸技术研发及产业化</w:t>
      </w:r>
    </w:p>
    <w:p w14:paraId="6ED80E7C">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14:paraId="71B08ABA">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通过多基因重组技术对菌株L-苹果酸合成途径进行修饰改造，并与基因调控、代谢调控及生化工程相结合，实现构建L-苹果酸高产率的菌种。系统研究不同发酵条件对L-苹果酸产量和质量的影响，优化发酵过程参数，建立高效的发酵工艺。开发经济、高效的分离纯化技术，如膜分离、色谱分离等，降低产品分离成本，提高L-苹果酸纯度和质量。建设中试生产线，进行中试试验，验证技术的可行性和稳定性。开展生物质合成的L-苹果酸在食品、医药、化工等行业的产品应用评价和开发。在此基础上，建立发酵过程工艺数据库，建设产业化生产装置，实现规模化生产。</w:t>
      </w:r>
    </w:p>
    <w:p w14:paraId="1CC70020">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14:paraId="195C9D86">
      <w:pPr>
        <w:adjustRightInd w:val="0"/>
        <w:snapToGrid w:val="0"/>
        <w:spacing w:line="60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强化工程菌种自身纤维素降解能力和人工目标化学品L-苹果酸代谢途径，开发适合工业化规模化生产的生物质直接发酵合成苹果酸高效菌种（整个过程无需额外添加纤维素酶）至少1株；完善至少1株工程菌种的工业化生产工艺，制定生产技术标准，质量评价标准，并完成菌种登记和国家认定；实现成果转化不少于100万元，带动企业增收不少于500万元；利用工程菌种，建立L-苹果年产量不少于100kg示范生产线1条。</w:t>
      </w:r>
    </w:p>
    <w:p w14:paraId="1113E59D">
      <w:pPr>
        <w:tabs>
          <w:tab w:val="left" w:pos="312"/>
        </w:tabs>
        <w:adjustRightInd w:val="0"/>
        <w:snapToGrid w:val="0"/>
        <w:spacing w:line="600" w:lineRule="exact"/>
        <w:ind w:left="643"/>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14:paraId="58097661">
      <w:pPr>
        <w:spacing w:line="600" w:lineRule="exact"/>
        <w:ind w:firstLine="643"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bookmarkStart w:id="0" w:name="_Hlk205211349"/>
      <w:r>
        <w:rPr>
          <w:rFonts w:hint="eastAsia" w:ascii="仿宋_GB2312" w:hAnsi="仿宋" w:eastAsia="仿宋_GB2312" w:cs="仿宋"/>
          <w:sz w:val="32"/>
          <w:szCs w:val="32"/>
        </w:rPr>
        <w:t>自治区本级科技专项资金投入1000万元，需要企业自筹不低于2000万元。</w:t>
      </w:r>
    </w:p>
    <w:p w14:paraId="6F5118BC">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五、</w:t>
      </w:r>
      <w:bookmarkEnd w:id="0"/>
      <w:r>
        <w:rPr>
          <w:rFonts w:hint="eastAsia" w:ascii="黑体" w:hAnsi="黑体" w:eastAsia="黑体"/>
          <w:bCs/>
          <w:sz w:val="32"/>
          <w:szCs w:val="32"/>
        </w:rPr>
        <w:t>反刍动物高效兽药关键技术及新制剂创制</w:t>
      </w:r>
    </w:p>
    <w:p w14:paraId="152ED418">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1.研究任务：</w:t>
      </w:r>
      <w:bookmarkStart w:id="1" w:name="_Hlk208415522"/>
      <w:bookmarkStart w:id="2" w:name="OLE_LINK13"/>
    </w:p>
    <w:p w14:paraId="408B507F">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针对当前我国牛羊专用药物存在质量低、疗效差、残留高、剂型单一、使用便利性差等问题，开发反刍动物用兽药优势新晶型/盐型，建立反刍兽药新晶型高通量筛选及评价平台和晶型库；通过基因编辑重构代谢通路，利用CRISPR-Cas9等技术改造生产菌株，开发绿色、低耗能、低成本的生物合成药物新工艺。开发定向释放微囊包被、精准调节缓控释的新制剂，建立缓控释制剂体内/外评价模型，开展牛羊安全性和临床有效性评价研究，制定新制剂质量控制标准，建立从原料到成品的全自动智能化制剂生产线，实现高端制剂产业化。</w:t>
      </w:r>
    </w:p>
    <w:p w14:paraId="3B9BDF52">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bookmarkEnd w:id="1"/>
    <w:bookmarkEnd w:id="2"/>
    <w:p w14:paraId="65D315B1">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开发牛羊用原料药结晶工艺2-3个，获得3-5种具有自主知识产权的优势新晶型（晶型纯度99.0%，总杂≤1.0%）；设计建立智能化结晶装置及其配套控制系统1套，取得1-2个绿色全细胞生物合成原料新工艺，“三废排放”降低60%以上，生产成本降低30%以上；完成3个牛羊体内药物残留评价研究，开发3-5个复方、长效药物新制剂，生物利用度大于80%、治愈率大于85%，比现有产品显著提升1倍以上；建立国家兽药质量标准3套，药物体内/外评价模型3套；获得3个国家《新兽药注册证书》。</w:t>
      </w:r>
    </w:p>
    <w:p w14:paraId="6DF41D63">
      <w:pPr>
        <w:spacing w:line="600" w:lineRule="exact"/>
        <w:ind w:firstLine="643"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14:paraId="491842FE">
      <w:pPr>
        <w:tabs>
          <w:tab w:val="left" w:pos="312"/>
        </w:tabs>
        <w:spacing w:line="600" w:lineRule="exact"/>
        <w:ind w:firstLine="643"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自治区本级科技专项资金投入1000万元，需要企业自筹不低于2000万元。</w:t>
      </w:r>
    </w:p>
    <w:p w14:paraId="18E65D9F">
      <w:pPr>
        <w:numPr>
          <w:ilvl w:val="255"/>
          <w:numId w:val="0"/>
        </w:numPr>
        <w:adjustRightInd w:val="0"/>
        <w:snapToGrid w:val="0"/>
        <w:spacing w:line="600" w:lineRule="exact"/>
        <w:ind w:firstLine="640" w:firstLineChars="200"/>
        <w:rPr>
          <w:rFonts w:ascii="黑体" w:hAnsi="黑体" w:eastAsia="黑体"/>
          <w:bCs/>
          <w:sz w:val="32"/>
          <w:szCs w:val="32"/>
        </w:rPr>
      </w:pPr>
      <w:r>
        <w:rPr>
          <w:rFonts w:hint="eastAsia" w:ascii="黑体" w:hAnsi="黑体" w:eastAsia="黑体"/>
          <w:bCs/>
          <w:sz w:val="32"/>
          <w:szCs w:val="32"/>
        </w:rPr>
        <w:t>六、关键动物疫病新型靶向兽药合成研究及产业化</w:t>
      </w:r>
    </w:p>
    <w:p w14:paraId="58A24D17">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1.研究内容</w:t>
      </w:r>
    </w:p>
    <w:p w14:paraId="65744B4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立足养殖业需求，合成研发新型兽用抗生素；建立猪、牛关键疫病模型，进一步开发特定的药物递送载体，确保药物能够精准到达治疗靶点并释放；针对猪、牛等动物疫病系统开展兽用抗生素的靶动物试验研究，对兽药的吸收、分布、代谢和排泄过程开展研究，使得靶向药物精准使用，在适当降低抗生素用量的基础上提升靶向动物疗效、安全性。通过研究推动该类靶向兽药的注册申报、规模化生产及推广应用，保障动物健康、稳定养殖生产和提升畜产品安全水平。</w:t>
      </w:r>
    </w:p>
    <w:p w14:paraId="3978365C">
      <w:pPr>
        <w:spacing w:line="600" w:lineRule="exact"/>
        <w:ind w:firstLine="643" w:firstLineChars="200"/>
        <w:rPr>
          <w:rFonts w:ascii="楷体_GB2312" w:hAnsi="仿宋" w:eastAsia="楷体_GB2312" w:cs="仿宋"/>
          <w:b/>
          <w:color w:val="000000"/>
          <w:sz w:val="32"/>
          <w:szCs w:val="32"/>
        </w:rPr>
      </w:pPr>
      <w:r>
        <w:rPr>
          <w:rFonts w:hint="eastAsia" w:ascii="楷体_GB2312" w:hAnsi="仿宋" w:eastAsia="楷体_GB2312" w:cs="仿宋"/>
          <w:b/>
          <w:color w:val="000000"/>
          <w:sz w:val="32"/>
          <w:szCs w:val="32"/>
        </w:rPr>
        <w:t>2.考核指标</w:t>
      </w:r>
    </w:p>
    <w:p w14:paraId="53CA4C4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完成5-6个兽药配方筛选与优化，形成成熟生产工艺规程4-6项；研发4-5种新型兽用抗生素，实现产业化生产；构建3-4种动物疾病药效评价模型，建立药物残留检测方法3项以上；制定相关质量标准与技术规范4-5项；完成2-3个靶向兽药注册申请，获得1-2个生产文号批件；联合区内外高校建设产学研基地1-2个；培训企业技术人员50-100人次；推动产业覆盖规模养殖场50-100家、100万头动物以上；项目预期实现年销售收入1.5-2亿元。</w:t>
      </w:r>
    </w:p>
    <w:p w14:paraId="12DD0601">
      <w:pPr>
        <w:numPr>
          <w:ilvl w:val="255"/>
          <w:numId w:val="0"/>
        </w:numPr>
        <w:adjustRightInd w:val="0"/>
        <w:snapToGrid w:val="0"/>
        <w:spacing w:line="600" w:lineRule="exact"/>
        <w:ind w:firstLine="643" w:firstLineChars="200"/>
        <w:rPr>
          <w:rFonts w:ascii="仿宋_GB2312" w:hAnsi="仿宋" w:eastAsia="仿宋_GB2312" w:cs="仿宋"/>
          <w:bCs/>
          <w:sz w:val="32"/>
          <w:szCs w:val="32"/>
        </w:rPr>
      </w:pPr>
      <w:r>
        <w:rPr>
          <w:rFonts w:hint="eastAsia" w:ascii="楷体_GB2312" w:hAnsi="仿宋" w:eastAsia="楷体_GB2312" w:cs="仿宋"/>
          <w:b/>
          <w:color w:val="000000"/>
          <w:sz w:val="32"/>
          <w:szCs w:val="32"/>
        </w:rPr>
        <w:t>3.实施周期：</w:t>
      </w:r>
      <w:r>
        <w:rPr>
          <w:rFonts w:hint="eastAsia" w:ascii="仿宋_GB2312" w:hAnsi="仿宋" w:eastAsia="仿宋_GB2312" w:cs="仿宋"/>
          <w:bCs/>
          <w:sz w:val="32"/>
          <w:szCs w:val="32"/>
        </w:rPr>
        <w:t>3年</w:t>
      </w:r>
    </w:p>
    <w:p w14:paraId="443C0F68">
      <w:pPr>
        <w:spacing w:line="600" w:lineRule="exact"/>
        <w:ind w:firstLine="643" w:firstLineChars="200"/>
        <w:rPr>
          <w:rFonts w:ascii="仿宋_GB2312" w:hAnsi="仿宋" w:eastAsia="仿宋_GB2312" w:cs="仿宋"/>
          <w:sz w:val="32"/>
          <w:szCs w:val="32"/>
        </w:rPr>
      </w:pPr>
      <w:r>
        <w:rPr>
          <w:rFonts w:hint="eastAsia" w:ascii="楷体_GB2312" w:hAnsi="仿宋" w:eastAsia="楷体_GB2312" w:cs="仿宋"/>
          <w:b/>
          <w:color w:val="000000"/>
          <w:sz w:val="32"/>
          <w:szCs w:val="32"/>
        </w:rPr>
        <w:t>4.拟支持资金额度：</w:t>
      </w:r>
      <w:r>
        <w:rPr>
          <w:rFonts w:hint="eastAsia" w:ascii="仿宋_GB2312" w:hAnsi="仿宋" w:eastAsia="仿宋_GB2312" w:cs="仿宋"/>
          <w:sz w:val="32"/>
          <w:szCs w:val="32"/>
        </w:rPr>
        <w:t>自治区本级科技专项资金投入1000万元，需要企业自筹不低于2000万元。</w:t>
      </w: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924278"/>
      <w:docPartObj>
        <w:docPartGallery w:val="AutoText"/>
      </w:docPartObj>
    </w:sdtPr>
    <w:sdtContent>
      <w:p w14:paraId="5127CF78">
        <w:pPr>
          <w:pStyle w:val="4"/>
          <w:jc w:val="center"/>
        </w:pPr>
        <w:r>
          <w:fldChar w:fldCharType="begin"/>
        </w:r>
        <w:r>
          <w:instrText xml:space="preserve">PAGE   \* MERGEFORMAT</w:instrText>
        </w:r>
        <w:r>
          <w:fldChar w:fldCharType="separate"/>
        </w:r>
        <w:r>
          <w:rPr>
            <w:lang w:val="zh-CN"/>
          </w:rPr>
          <w:t>2</w:t>
        </w:r>
        <w:r>
          <w:fldChar w:fldCharType="end"/>
        </w:r>
      </w:p>
    </w:sdtContent>
  </w:sdt>
  <w:p w14:paraId="7F4F0AE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8E"/>
    <w:rsid w:val="0003554E"/>
    <w:rsid w:val="000378A4"/>
    <w:rsid w:val="000770CB"/>
    <w:rsid w:val="000B0D70"/>
    <w:rsid w:val="000C0ADB"/>
    <w:rsid w:val="000D0336"/>
    <w:rsid w:val="000F5CC6"/>
    <w:rsid w:val="00161C8F"/>
    <w:rsid w:val="001B7117"/>
    <w:rsid w:val="001D6868"/>
    <w:rsid w:val="001F78C5"/>
    <w:rsid w:val="002348C5"/>
    <w:rsid w:val="00262364"/>
    <w:rsid w:val="002714D2"/>
    <w:rsid w:val="002E1380"/>
    <w:rsid w:val="003306AE"/>
    <w:rsid w:val="003315EB"/>
    <w:rsid w:val="00364E11"/>
    <w:rsid w:val="003B07AD"/>
    <w:rsid w:val="0043548A"/>
    <w:rsid w:val="00487476"/>
    <w:rsid w:val="004946CF"/>
    <w:rsid w:val="004B6DB0"/>
    <w:rsid w:val="0057157E"/>
    <w:rsid w:val="005D5533"/>
    <w:rsid w:val="00651DE8"/>
    <w:rsid w:val="006625DC"/>
    <w:rsid w:val="00671DBA"/>
    <w:rsid w:val="006C1D05"/>
    <w:rsid w:val="006D2BD0"/>
    <w:rsid w:val="00707F91"/>
    <w:rsid w:val="00711310"/>
    <w:rsid w:val="007253DB"/>
    <w:rsid w:val="007343D7"/>
    <w:rsid w:val="00754926"/>
    <w:rsid w:val="007B583D"/>
    <w:rsid w:val="007C1AC5"/>
    <w:rsid w:val="007C5EEF"/>
    <w:rsid w:val="007C77C1"/>
    <w:rsid w:val="007E2151"/>
    <w:rsid w:val="00845AAE"/>
    <w:rsid w:val="008812D3"/>
    <w:rsid w:val="00881BD1"/>
    <w:rsid w:val="00883A5E"/>
    <w:rsid w:val="008B775B"/>
    <w:rsid w:val="008C3205"/>
    <w:rsid w:val="008D0E86"/>
    <w:rsid w:val="008E1617"/>
    <w:rsid w:val="00964FE5"/>
    <w:rsid w:val="00993B8E"/>
    <w:rsid w:val="00994981"/>
    <w:rsid w:val="00997756"/>
    <w:rsid w:val="009E5F9E"/>
    <w:rsid w:val="00A079F1"/>
    <w:rsid w:val="00A43AE6"/>
    <w:rsid w:val="00A87C30"/>
    <w:rsid w:val="00AE15ED"/>
    <w:rsid w:val="00B0469A"/>
    <w:rsid w:val="00B13495"/>
    <w:rsid w:val="00B170B8"/>
    <w:rsid w:val="00B369D2"/>
    <w:rsid w:val="00B45059"/>
    <w:rsid w:val="00B64AB9"/>
    <w:rsid w:val="00B81019"/>
    <w:rsid w:val="00BA15A2"/>
    <w:rsid w:val="00BD3DA0"/>
    <w:rsid w:val="00BE2092"/>
    <w:rsid w:val="00C17A90"/>
    <w:rsid w:val="00C34B67"/>
    <w:rsid w:val="00C36E5E"/>
    <w:rsid w:val="00D43CAF"/>
    <w:rsid w:val="00D54545"/>
    <w:rsid w:val="00D65884"/>
    <w:rsid w:val="00E047CF"/>
    <w:rsid w:val="00E30AAE"/>
    <w:rsid w:val="00E86CA9"/>
    <w:rsid w:val="00EE4C9D"/>
    <w:rsid w:val="00F041F5"/>
    <w:rsid w:val="00F2549E"/>
    <w:rsid w:val="00F35689"/>
    <w:rsid w:val="00F41325"/>
    <w:rsid w:val="00F82F6D"/>
    <w:rsid w:val="00FB5FE2"/>
    <w:rsid w:val="00FB7FAF"/>
    <w:rsid w:val="7E3F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line="360" w:lineRule="auto"/>
    </w:pPr>
    <w:rPr>
      <w:rFonts w:hint="eastAsia" w:ascii="黑体" w:hAnsiTheme="minorHAnsi" w:eastAsiaTheme="minorEastAsia" w:cstheme="minorBidi"/>
      <w:b/>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2"/>
    <w:next w:val="1"/>
    <w:link w:val="13"/>
    <w:qFormat/>
    <w:uiPriority w:val="0"/>
    <w:pPr>
      <w:ind w:firstLine="420" w:firstLineChars="100"/>
    </w:p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99"/>
    <w:rPr>
      <w:rFonts w:ascii="黑体"/>
      <w:b/>
      <w:sz w:val="24"/>
      <w:szCs w:val="24"/>
    </w:rPr>
  </w:style>
  <w:style w:type="character" w:customStyle="1" w:styleId="13">
    <w:name w:val="正文首行缩进 字符"/>
    <w:basedOn w:val="12"/>
    <w:link w:val="7"/>
    <w:qFormat/>
    <w:uiPriority w:val="0"/>
    <w:rPr>
      <w:rFonts w:ascii="黑体"/>
      <w:sz w:val="24"/>
      <w:szCs w:val="24"/>
    </w:rPr>
  </w:style>
  <w:style w:type="paragraph" w:styleId="14">
    <w:name w:val="List Paragraph"/>
    <w:basedOn w:val="1"/>
    <w:qFormat/>
    <w:uiPriority w:val="99"/>
    <w:pPr>
      <w:ind w:firstLine="420" w:firstLineChars="200"/>
    </w:pPr>
    <w:rPr>
      <w:rFonts w:asciiTheme="minorHAnsi" w:hAnsiTheme="minorHAnsi" w:eastAsiaTheme="minorEastAsia" w:cstheme="minorBidi"/>
      <w:szCs w:val="24"/>
    </w:rPr>
  </w:style>
  <w:style w:type="paragraph" w:customStyle="1" w:styleId="15">
    <w:name w:val="标题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框文本 字符"/>
    <w:basedOn w:val="9"/>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551E0-388C-4442-A2E5-AB42380B3A5B}">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3258</Words>
  <Characters>3463</Characters>
  <Lines>24</Lines>
  <Paragraphs>7</Paragraphs>
  <TotalTime>40</TotalTime>
  <ScaleCrop>false</ScaleCrop>
  <LinksUpToDate>false</LinksUpToDate>
  <CharactersWithSpaces>3465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2025-09-24T08:01:00Z</dcterms:created>
  <dc:creator>NTKO</dc:creator>
  <cp:lastModifiedBy>鹤宇</cp:lastModifiedBy>
  <cp:lastPrinted>2025-09-24T09:12:00Z</cp:lastPrinted>
  <dcterms:modified xsi:type="dcterms:W3CDTF">2025-09-25T03:42:30Z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eyJoZGlkIjoiNTcyMGNkOTUzMWMyMDNlOTMzN2IwY2ViZjUzNWE2ZTEiLCJ1c2VySWQiOiIyNDQ5MDI3NTQifQ==</vt:lpwstr>
  </property>
  <property fmtid="{D5CDD505-2E9C-101B-9397-08002B2CF9AE}" pid="3" name="KSOProductBuildVer">
    <vt:lpwstr>2052-12.1.0.22529</vt:lpwstr>
  </property>
  <property fmtid="{D5CDD505-2E9C-101B-9397-08002B2CF9AE}" pid="4" name="ICV">
    <vt:lpwstr>D87D2B906E604FDCAF7ED99ADEC839B9_12</vt:lpwstr>
  </property>
</Properties>
</file>