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2023年度巴彦淖尔市“揭榜挂帅”项目榜单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巴彦淖尔市科学技术局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:lang w:val="e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年10月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发酵蔬菜发酵工艺优化技术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需求单位：内蒙古培尧食品有限公司</w:t>
      </w:r>
    </w:p>
    <w:p>
      <w:pPr>
        <w:spacing w:line="600" w:lineRule="exact"/>
        <w:ind w:left="638" w:leftChars="304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为提升我市发酵蔬菜（芥菜、黄瓜、韭菜花）的深加工技术水平，解决发酵蔬菜产品亚硝酸盐含量高、发酵过程存在不稳定性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难题，开展发酵蔬菜发酵工艺优化技术研究，进一步提升发酵蔬菜产品品质，为我市蔬菜产品深加工探索出一条现代化、工业化的发展之路。</w:t>
      </w:r>
    </w:p>
    <w:p>
      <w:pPr>
        <w:tabs>
          <w:tab w:val="left" w:pos="420"/>
          <w:tab w:val="left" w:pos="630"/>
        </w:tabs>
        <w:spacing w:line="600" w:lineRule="exact"/>
        <w:ind w:left="638" w:leftChars="304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预期目标：</w:t>
      </w:r>
    </w:p>
    <w:p>
      <w:pPr>
        <w:tabs>
          <w:tab w:val="left" w:pos="5820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（1）建立发酵蔬菜发酵工艺与品质之间的关联，确定最佳的发酵工艺，获得数字化控制模型1个。</w:t>
      </w:r>
    </w:p>
    <w:p>
      <w:pPr>
        <w:tabs>
          <w:tab w:val="left" w:pos="5820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（2）开展发酵蔬菜护色、保脆、保存性能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相关研究，开发发酵蔬菜配料配方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个，发酵蔬菜新产品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个，产品要求口感清脆，抗氧化能力强、产品货架期长。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）筛选出可有效降解亚硝酸盐的乳酸菌/发酵剂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使得产品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含量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mg/kg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）申请专利1-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实施期限：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资金投入总金额：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南瓜籽冷榨食用油关键技术攻关及南瓜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籽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粉蛋白产品开发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内蒙古蒙鑫晨泰农业科技开发有限公司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针对目前我市南瓜籽高效化加工专用技术缺乏，产品附加值不高，综合资源利用率低等突出问题，研究开发南瓜籽油超临界萃取工艺，充分保持油脂中营养成分的活性因子，并开发适用的南瓜籽蛋白粉产品。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（1）研究开发南瓜籽油超临界萃取工艺，使得油脂品质中维生素E的保留率高于传统工艺（20-80mg/100g）的10%以上，亚麻酸的保留率高于传统工艺（0.7%-1.1%）的11%以上。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（2）以脱脂南瓜籽为原料制取南瓜籽蛋白粉，总蛋白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保留率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达到85%以上，产品中蛋白含量达到60%以上。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）挖掘南瓜籽蛋白的功能性质，开发2种以上南瓜籽蛋白粉休闲即食食品。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实施期限：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资金投入总金额：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高山冷凉酵素白菜发酵技术及有害物质生物消减研究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内蒙古绿兆源食品有限责任公司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淖尔市乌拉特后旗山前冲积扇地带地处北纬41°，海拔约1000-1400米，昼夜温差较大（10-15℃），当地种植的白菜属于典型的高山冷凉蔬菜。麦后复种白菜种植面积大、存量高，由于缺少高附加值深加工工艺，造成农民和企业增收困难。拟通过开展高山冷凉酵素白菜发酵技术及有害物质生物消减研究，开发口感好、功能好的高端酵素白菜产品，提升产品的科技含量和附加值，促进农民和企业实现增收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（1）从菌种配伍和发酵工艺两个维度，优化高山冷凉酵素白菜发酵工艺，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研制高活性复合发酵剂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发酵工艺1套，申请专利1项。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（2）采用电子鼻和电子舌头结合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感官评价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法，建立酵素白菜和汤汁的评价体系，获得口感好的配伍配方1个。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（3）以益生元和乳清粉作为菌种生长强化剂，建立生物消减工艺，使得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酵素白菜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酸度不低于0.5%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含量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mg/kg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实施期限：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资金投入总金额：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肉羊分割低值产物综合利用关键技术研究与产品开发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内蒙古草原晶鑫食品有限公司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针对巴彦淖尔市</w:t>
      </w:r>
      <w:r>
        <w:rPr>
          <w:rFonts w:ascii="仿宋_GB2312" w:hAnsi="仿宋_GB2312" w:eastAsia="仿宋_GB2312" w:cs="仿宋_GB2312"/>
          <w:sz w:val="32"/>
          <w:szCs w:val="32"/>
        </w:rPr>
        <w:t>肉羊屠宰过程中产生的羊内脏（心、肝等）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羊腩等</w:t>
      </w:r>
      <w:r>
        <w:rPr>
          <w:rFonts w:hint="eastAsia" w:ascii="仿宋_GB2312" w:hAnsi="仿宋_GB2312" w:eastAsia="仿宋_GB2312" w:cs="仿宋_GB2312"/>
          <w:sz w:val="32"/>
          <w:szCs w:val="32"/>
        </w:rPr>
        <w:t>低值部分，开展腊羊肉、预制菜高值化利用研究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采用传统酱卤等加工技术对羊心、羊肝进行预制菜等产品的开发，同时采用低盐腌制结合绿色熏制技术将羊腩加工成腊羊肉，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通过研究突破能迅速形成产品并进入市场，解决我市农畜产品加工难、产业链短和产品相对单一的问题，为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肉羊预制菜产业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开发起到引领和示范作用。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建立不同品种肉羊屠宰后低值产物羊肝、羊心、羊腩的蛋白质、油脂、氨基酸等营养成分数据表。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研究开发麻辣、香辣等复合酱卤配料4个。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研究开发羊心、羊肝酱卤预制产品4个，产品出品率高于70%。</w:t>
      </w:r>
    </w:p>
    <w:p>
      <w:pPr>
        <w:pStyle w:val="10"/>
        <w:spacing w:line="60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（4）开发腊羊肉加工工艺1套，开发腊羊肉产品1个。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（5）申请发明专利2项，发表论文3篇，制定产品标准4项。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实施期限：2年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资金投入总金额：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BC27"/>
    <w:multiLevelType w:val="singleLevel"/>
    <w:tmpl w:val="7A8DBC2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TBmNTg5MjZlM2U2ZTBiMDgyNGI4OGUxZTQ0ZDIifQ=="/>
  </w:docVars>
  <w:rsids>
    <w:rsidRoot w:val="5A5964C8"/>
    <w:rsid w:val="000623F5"/>
    <w:rsid w:val="001C76DE"/>
    <w:rsid w:val="002B1E09"/>
    <w:rsid w:val="00334D44"/>
    <w:rsid w:val="00363476"/>
    <w:rsid w:val="004B0A73"/>
    <w:rsid w:val="004E1562"/>
    <w:rsid w:val="004E5C5A"/>
    <w:rsid w:val="005D178D"/>
    <w:rsid w:val="00754132"/>
    <w:rsid w:val="00766255"/>
    <w:rsid w:val="007700D0"/>
    <w:rsid w:val="007D5C50"/>
    <w:rsid w:val="007E52DB"/>
    <w:rsid w:val="007F56AC"/>
    <w:rsid w:val="00803EB6"/>
    <w:rsid w:val="00807AD1"/>
    <w:rsid w:val="00964006"/>
    <w:rsid w:val="009C617E"/>
    <w:rsid w:val="00AC2509"/>
    <w:rsid w:val="00AD7F84"/>
    <w:rsid w:val="00BA5FE1"/>
    <w:rsid w:val="00D72122"/>
    <w:rsid w:val="00DB63E7"/>
    <w:rsid w:val="00E30FAC"/>
    <w:rsid w:val="00E70990"/>
    <w:rsid w:val="00EA0114"/>
    <w:rsid w:val="029A6E6A"/>
    <w:rsid w:val="038A7E04"/>
    <w:rsid w:val="094C3466"/>
    <w:rsid w:val="1590765F"/>
    <w:rsid w:val="167F42E6"/>
    <w:rsid w:val="19C92FDD"/>
    <w:rsid w:val="2CAC09AD"/>
    <w:rsid w:val="2F563DAF"/>
    <w:rsid w:val="303D1BD7"/>
    <w:rsid w:val="36444A46"/>
    <w:rsid w:val="3A502507"/>
    <w:rsid w:val="3BFD4001"/>
    <w:rsid w:val="3C3F0251"/>
    <w:rsid w:val="3CF37103"/>
    <w:rsid w:val="3DFBBCB3"/>
    <w:rsid w:val="3E0977AA"/>
    <w:rsid w:val="3E7570D2"/>
    <w:rsid w:val="43BB383F"/>
    <w:rsid w:val="451A3E3D"/>
    <w:rsid w:val="454E255C"/>
    <w:rsid w:val="475F3D89"/>
    <w:rsid w:val="4FC1144E"/>
    <w:rsid w:val="531225F7"/>
    <w:rsid w:val="5A5964C8"/>
    <w:rsid w:val="610A7C8F"/>
    <w:rsid w:val="6B067779"/>
    <w:rsid w:val="6D0770B7"/>
    <w:rsid w:val="6EBF4F8A"/>
    <w:rsid w:val="6FBB283F"/>
    <w:rsid w:val="73143BA0"/>
    <w:rsid w:val="735A1725"/>
    <w:rsid w:val="736B4FBE"/>
    <w:rsid w:val="76BB697E"/>
    <w:rsid w:val="76FC7C74"/>
    <w:rsid w:val="777D552D"/>
    <w:rsid w:val="7BA146CD"/>
    <w:rsid w:val="7DDB3961"/>
    <w:rsid w:val="7E4476EF"/>
    <w:rsid w:val="7FFB2CB8"/>
    <w:rsid w:val="7FFDEFF7"/>
    <w:rsid w:val="A0DA64CD"/>
    <w:rsid w:val="AFF783F3"/>
    <w:rsid w:val="BEDF3F6C"/>
    <w:rsid w:val="DEEDF0B6"/>
    <w:rsid w:val="EF7FC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1">
    <w:name w:val="TOC 标题1"/>
    <w:basedOn w:val="2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="Cambria" w:hAnsi="Cambria" w:eastAsia="宋体"/>
      <w:color w:val="366091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1420</Characters>
  <Lines>11</Lines>
  <Paragraphs>3</Paragraphs>
  <TotalTime>5</TotalTime>
  <ScaleCrop>false</ScaleCrop>
  <LinksUpToDate>false</LinksUpToDate>
  <CharactersWithSpaces>1666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2022-10-08T01:17:00Z</dcterms:created>
  <dc:creator> ☆ Counting Stars</dc:creator>
  <cp:lastModifiedBy>耷拉眼河童</cp:lastModifiedBy>
  <dcterms:modified xsi:type="dcterms:W3CDTF">2023-10-26T13:39:26Z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FA8D5F1035D2483BBF38D550A708A19D</vt:lpwstr>
  </property>
</Properties>
</file>